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Layout w:type="fixed"/>
        <w:tblCellMar>
          <w:left w:w="0" w:type="dxa"/>
          <w:right w:w="0" w:type="dxa"/>
        </w:tblCellMar>
        <w:tblLook w:val="0000" w:firstRow="0" w:lastRow="0" w:firstColumn="0" w:lastColumn="0" w:noHBand="0" w:noVBand="0"/>
      </w:tblPr>
      <w:tblGrid>
        <w:gridCol w:w="3261"/>
        <w:gridCol w:w="141"/>
        <w:gridCol w:w="5238"/>
      </w:tblGrid>
      <w:tr w:rsidR="0065061A" w:rsidRPr="00CB0825" w14:paraId="631A6557" w14:textId="77777777" w:rsidTr="003D3736">
        <w:trPr>
          <w:trHeight w:val="1440"/>
        </w:trPr>
        <w:tc>
          <w:tcPr>
            <w:tcW w:w="3261" w:type="dxa"/>
            <w:tcBorders>
              <w:top w:val="nil"/>
              <w:left w:val="nil"/>
              <w:bottom w:val="nil"/>
              <w:right w:val="nil"/>
            </w:tcBorders>
          </w:tcPr>
          <w:p w14:paraId="67C466C6" w14:textId="77777777" w:rsidR="0065061A" w:rsidRPr="00CB0825" w:rsidRDefault="0065061A" w:rsidP="00C70BE3">
            <w:pPr>
              <w:pStyle w:val="ZCom"/>
              <w:rPr>
                <w:sz w:val="20"/>
              </w:rPr>
            </w:pPr>
            <w:bookmarkStart w:id="0" w:name="_GoBack"/>
            <w:bookmarkEnd w:id="0"/>
          </w:p>
        </w:tc>
        <w:tc>
          <w:tcPr>
            <w:tcW w:w="141" w:type="dxa"/>
            <w:tcBorders>
              <w:top w:val="nil"/>
              <w:left w:val="nil"/>
              <w:bottom w:val="nil"/>
              <w:right w:val="nil"/>
            </w:tcBorders>
          </w:tcPr>
          <w:p w14:paraId="74A7B389" w14:textId="77777777" w:rsidR="0065061A" w:rsidRPr="00CB0825" w:rsidRDefault="0065061A" w:rsidP="00C70BE3">
            <w:pPr>
              <w:pStyle w:val="ZCom"/>
            </w:pPr>
          </w:p>
        </w:tc>
        <w:tc>
          <w:tcPr>
            <w:tcW w:w="5238" w:type="dxa"/>
            <w:tcBorders>
              <w:top w:val="nil"/>
              <w:left w:val="nil"/>
              <w:bottom w:val="nil"/>
              <w:right w:val="nil"/>
            </w:tcBorders>
          </w:tcPr>
          <w:p w14:paraId="609F8767" w14:textId="77777777" w:rsidR="0065061A" w:rsidRPr="00CB0825" w:rsidRDefault="0065061A" w:rsidP="00C70BE3">
            <w:pPr>
              <w:pStyle w:val="ZDGName"/>
            </w:pPr>
          </w:p>
        </w:tc>
      </w:tr>
    </w:tbl>
    <w:p w14:paraId="06AE9C2A" w14:textId="7D7860BB" w:rsidR="004B4DBE" w:rsidRDefault="009408A4" w:rsidP="004B4DBE">
      <w:pPr>
        <w:pStyle w:val="NoteHead"/>
      </w:pPr>
      <w:r>
        <w:t>N</w:t>
      </w:r>
      <w:r w:rsidR="003C4561">
        <w:t>OTE AGREE</w:t>
      </w:r>
      <w:r w:rsidR="00B0297B">
        <w:t>D</w:t>
      </w:r>
      <w:r w:rsidR="00520867">
        <w:t xml:space="preserve"> </w:t>
      </w:r>
      <w:r w:rsidR="003C4561">
        <w:t>BY</w:t>
      </w:r>
      <w:r w:rsidR="009847D9">
        <w:t xml:space="preserve"> </w:t>
      </w:r>
      <w:r w:rsidR="00520867">
        <w:t xml:space="preserve">MEMBER STATES' </w:t>
      </w:r>
      <w:r w:rsidR="009847D9">
        <w:t>COMPETENT AUTHORITIES FOR BIOCIDAL PRODUCTS</w:t>
      </w:r>
      <w:r w:rsidR="004B4DBE">
        <w:t xml:space="preserve"> </w:t>
      </w:r>
    </w:p>
    <w:p w14:paraId="73A9BDC3" w14:textId="77777777" w:rsidR="00E81327" w:rsidRDefault="001B02BC" w:rsidP="00E81327">
      <w:pPr>
        <w:pBdr>
          <w:top w:val="single" w:sz="4" w:space="1" w:color="auto"/>
          <w:left w:val="single" w:sz="4" w:space="4" w:color="auto"/>
          <w:bottom w:val="single" w:sz="4" w:space="1" w:color="auto"/>
          <w:right w:val="single" w:sz="4" w:space="4" w:color="auto"/>
        </w:pBdr>
        <w:autoSpaceDE w:val="0"/>
        <w:autoSpaceDN w:val="0"/>
        <w:adjustRightInd w:val="0"/>
        <w:spacing w:after="0"/>
        <w:rPr>
          <w:i/>
          <w:iCs/>
          <w:sz w:val="28"/>
          <w:szCs w:val="28"/>
        </w:rPr>
      </w:pPr>
      <w:r w:rsidRPr="00B05C96">
        <w:rPr>
          <w:i/>
        </w:rPr>
        <w:t>This document is drafted in the interest of consistency of the implementation of Regulation (EU) No 528/2012 and with the aim of finding an agreement between Member States' Competent Authorities for biocidal products on a harmonised approach. Please note, however, it does not represent the official position of the Commission and that Member States are not legally obliged to follow the approach set out in this document, since only the Court of Justice of the European Union can give authoritative interpretations on the contents of Union law.</w:t>
      </w:r>
    </w:p>
    <w:p w14:paraId="51E1DF1F" w14:textId="77777777" w:rsidR="00E81327" w:rsidRDefault="00E81327" w:rsidP="00520867">
      <w:pPr>
        <w:spacing w:after="720"/>
        <w:rPr>
          <w:i/>
        </w:rPr>
      </w:pPr>
    </w:p>
    <w:p w14:paraId="613976B6" w14:textId="77777777" w:rsidR="00551762" w:rsidRPr="00E72B0F" w:rsidRDefault="004B4DBE" w:rsidP="00C842D5">
      <w:pPr>
        <w:spacing w:before="120"/>
        <w:ind w:left="1440" w:hanging="1440"/>
        <w:jc w:val="left"/>
        <w:outlineLvl w:val="0"/>
        <w:rPr>
          <w:b/>
          <w:szCs w:val="24"/>
        </w:rPr>
      </w:pPr>
      <w:r>
        <w:t>Subject:</w:t>
      </w:r>
      <w:r w:rsidR="00C842D5">
        <w:t xml:space="preserve"> </w:t>
      </w:r>
      <w:r w:rsidR="00C842D5">
        <w:tab/>
      </w:r>
      <w:r w:rsidR="004007D9">
        <w:rPr>
          <w:b/>
          <w:szCs w:val="24"/>
        </w:rPr>
        <w:t>Implementation</w:t>
      </w:r>
      <w:r w:rsidR="004007D9" w:rsidRPr="00E72B0F">
        <w:rPr>
          <w:b/>
          <w:szCs w:val="24"/>
        </w:rPr>
        <w:t xml:space="preserve"> </w:t>
      </w:r>
      <w:r w:rsidR="00551762" w:rsidRPr="00E72B0F">
        <w:rPr>
          <w:b/>
          <w:szCs w:val="24"/>
        </w:rPr>
        <w:t xml:space="preserve">of scientific criteria </w:t>
      </w:r>
      <w:r w:rsidR="00B7678B">
        <w:rPr>
          <w:b/>
          <w:szCs w:val="24"/>
        </w:rPr>
        <w:t>to determine</w:t>
      </w:r>
      <w:r w:rsidR="00551762" w:rsidRPr="00E72B0F">
        <w:rPr>
          <w:b/>
          <w:szCs w:val="24"/>
        </w:rPr>
        <w:t xml:space="preserve"> </w:t>
      </w:r>
      <w:r w:rsidR="00B7678B">
        <w:rPr>
          <w:b/>
          <w:szCs w:val="24"/>
        </w:rPr>
        <w:t xml:space="preserve">the </w:t>
      </w:r>
      <w:r w:rsidR="00551762" w:rsidRPr="00E72B0F">
        <w:rPr>
          <w:b/>
          <w:szCs w:val="24"/>
        </w:rPr>
        <w:t>endocrine-</w:t>
      </w:r>
      <w:r w:rsidR="00C842D5">
        <w:rPr>
          <w:b/>
          <w:szCs w:val="24"/>
        </w:rPr>
        <w:t>d</w:t>
      </w:r>
      <w:r w:rsidR="00551762" w:rsidRPr="00E72B0F">
        <w:rPr>
          <w:b/>
          <w:szCs w:val="24"/>
        </w:rPr>
        <w:t xml:space="preserve">isrupting properties </w:t>
      </w:r>
      <w:r w:rsidR="00B7678B">
        <w:rPr>
          <w:b/>
          <w:szCs w:val="24"/>
        </w:rPr>
        <w:t>of</w:t>
      </w:r>
      <w:r w:rsidR="00941D08">
        <w:rPr>
          <w:b/>
          <w:szCs w:val="24"/>
        </w:rPr>
        <w:t xml:space="preserve"> </w:t>
      </w:r>
      <w:r w:rsidR="006E65C8">
        <w:rPr>
          <w:b/>
          <w:szCs w:val="24"/>
        </w:rPr>
        <w:t xml:space="preserve">active </w:t>
      </w:r>
      <w:r w:rsidR="00941D08">
        <w:rPr>
          <w:b/>
          <w:szCs w:val="24"/>
        </w:rPr>
        <w:t>substances</w:t>
      </w:r>
      <w:r w:rsidR="00427EFC">
        <w:rPr>
          <w:b/>
          <w:szCs w:val="24"/>
        </w:rPr>
        <w:t xml:space="preserve"> </w:t>
      </w:r>
      <w:r w:rsidR="00941D08">
        <w:rPr>
          <w:b/>
          <w:szCs w:val="24"/>
        </w:rPr>
        <w:t xml:space="preserve">currently under assessment </w:t>
      </w:r>
    </w:p>
    <w:p w14:paraId="748C04C6" w14:textId="77777777" w:rsidR="007F42D4" w:rsidRPr="00F824FB" w:rsidRDefault="009136E4" w:rsidP="0018232C">
      <w:pPr>
        <w:pStyle w:val="Heading1"/>
      </w:pPr>
      <w:r>
        <w:t xml:space="preserve">1.- </w:t>
      </w:r>
      <w:r w:rsidR="00DD652B">
        <w:t xml:space="preserve">Background </w:t>
      </w:r>
      <w:r w:rsidR="009E6808">
        <w:t>and purpose of the document</w:t>
      </w:r>
    </w:p>
    <w:p w14:paraId="3AA005E8" w14:textId="77777777" w:rsidR="00485C24" w:rsidRDefault="00485C24" w:rsidP="0018232C">
      <w:pPr>
        <w:pStyle w:val="ListNumber"/>
        <w:numPr>
          <w:ilvl w:val="0"/>
          <w:numId w:val="0"/>
        </w:numPr>
        <w:autoSpaceDE w:val="0"/>
        <w:autoSpaceDN w:val="0"/>
        <w:adjustRightInd w:val="0"/>
        <w:spacing w:after="0"/>
        <w:ind w:left="709"/>
      </w:pPr>
    </w:p>
    <w:p w14:paraId="280F775D" w14:textId="2E1A78A0" w:rsidR="00485C24" w:rsidRDefault="00485C24" w:rsidP="00941D08">
      <w:pPr>
        <w:pStyle w:val="ListNumber"/>
      </w:pPr>
      <w:r>
        <w:t xml:space="preserve">The </w:t>
      </w:r>
      <w:r w:rsidR="00AD45C5">
        <w:t>Commission Delegated Regulation (EU) No 2017/2100</w:t>
      </w:r>
      <w:r w:rsidR="00AD45C5">
        <w:rPr>
          <w:rStyle w:val="FootnoteReference"/>
        </w:rPr>
        <w:footnoteReference w:id="2"/>
      </w:r>
      <w:r w:rsidR="00AD45C5">
        <w:t xml:space="preserve"> </w:t>
      </w:r>
      <w:r>
        <w:t>specifying the scientific criteria for determi</w:t>
      </w:r>
      <w:r w:rsidR="00DD0CC4">
        <w:t>ni</w:t>
      </w:r>
      <w:r>
        <w:t>n</w:t>
      </w:r>
      <w:r w:rsidR="00B7678B">
        <w:t>g the</w:t>
      </w:r>
      <w:r>
        <w:t xml:space="preserve"> endocrine-disrupting properties (ED criteria) </w:t>
      </w:r>
      <w:r w:rsidR="004007D9">
        <w:t xml:space="preserve">under </w:t>
      </w:r>
      <w:r w:rsidR="00D36793" w:rsidRPr="00ED2FC0">
        <w:t>Regulation (EU) No 528/2012</w:t>
      </w:r>
      <w:r w:rsidR="00D36793">
        <w:t xml:space="preserve"> (</w:t>
      </w:r>
      <w:r w:rsidR="004007D9">
        <w:t>the Biocidal Product</w:t>
      </w:r>
      <w:r w:rsidR="00D36793">
        <w:t>s</w:t>
      </w:r>
      <w:r w:rsidR="004007D9">
        <w:t xml:space="preserve"> Regulation</w:t>
      </w:r>
      <w:r w:rsidR="00D36793">
        <w:t xml:space="preserve">, </w:t>
      </w:r>
      <w:r w:rsidR="004007D9">
        <w:t xml:space="preserve">BPR) </w:t>
      </w:r>
      <w:r w:rsidR="00695E5A">
        <w:t xml:space="preserve">establishes </w:t>
      </w:r>
      <w:r>
        <w:t xml:space="preserve">that the criteria </w:t>
      </w:r>
      <w:r w:rsidR="00A52692">
        <w:t>will</w:t>
      </w:r>
      <w:r>
        <w:t xml:space="preserve"> be applicable</w:t>
      </w:r>
      <w:r w:rsidR="00E81327">
        <w:t xml:space="preserve"> </w:t>
      </w:r>
      <w:r w:rsidR="00A52692">
        <w:t>as of 7 June 2018</w:t>
      </w:r>
      <w:r>
        <w:t xml:space="preserve">. Therefore, </w:t>
      </w:r>
      <w:r w:rsidR="00B7678B">
        <w:t>the c</w:t>
      </w:r>
      <w:r>
        <w:t xml:space="preserve">ompetent </w:t>
      </w:r>
      <w:r w:rsidR="00B7678B">
        <w:t>a</w:t>
      </w:r>
      <w:r>
        <w:t xml:space="preserve">uthorities, </w:t>
      </w:r>
      <w:r w:rsidR="00B7678B">
        <w:t>the European Chemicals Agency (</w:t>
      </w:r>
      <w:r w:rsidR="005A6F49">
        <w:t>ECHA</w:t>
      </w:r>
      <w:r w:rsidR="00B7678B">
        <w:t>)</w:t>
      </w:r>
      <w:r>
        <w:t xml:space="preserve">, applicants and the Commission </w:t>
      </w:r>
      <w:r w:rsidR="00B7678B">
        <w:t>need to be</w:t>
      </w:r>
      <w:r>
        <w:t xml:space="preserve"> ready </w:t>
      </w:r>
      <w:r w:rsidR="00941D08">
        <w:t xml:space="preserve">to take appropriate actions when </w:t>
      </w:r>
      <w:r>
        <w:t xml:space="preserve">the </w:t>
      </w:r>
      <w:r w:rsidR="00D90B9E">
        <w:t>regulation</w:t>
      </w:r>
      <w:r w:rsidR="00941D08">
        <w:t xml:space="preserve"> </w:t>
      </w:r>
      <w:r w:rsidR="00C41188">
        <w:t>becomes applicable</w:t>
      </w:r>
      <w:r>
        <w:t xml:space="preserve">.  </w:t>
      </w:r>
    </w:p>
    <w:p w14:paraId="7462FBB4" w14:textId="77777777" w:rsidR="00035697" w:rsidRDefault="00035697" w:rsidP="00035697">
      <w:pPr>
        <w:pStyle w:val="ListNumber"/>
      </w:pPr>
      <w:r>
        <w:t xml:space="preserve">Article 11 of </w:t>
      </w:r>
      <w:r w:rsidR="00D36793">
        <w:t xml:space="preserve">the </w:t>
      </w:r>
      <w:r>
        <w:t xml:space="preserve">BPR </w:t>
      </w:r>
      <w:r w:rsidR="001C0114">
        <w:t>encourages</w:t>
      </w:r>
      <w:r>
        <w:t xml:space="preserve"> the Commission to draw up technical guidance notes to facilitate the implementation of the Chapter II (approval of active substances). Article 16 of the BPR empowers the Commission to adopt, by means of implementing acts, detailed measures for the implementation of Articles 12 to 15 concerning renewal and review of approval of an active substance.</w:t>
      </w:r>
    </w:p>
    <w:p w14:paraId="22A21596" w14:textId="73F6DE7A" w:rsidR="006C2599" w:rsidRDefault="00C842D5" w:rsidP="00C10722">
      <w:pPr>
        <w:pStyle w:val="ListNumber"/>
        <w:autoSpaceDE w:val="0"/>
        <w:autoSpaceDN w:val="0"/>
        <w:adjustRightInd w:val="0"/>
        <w:spacing w:after="0"/>
      </w:pPr>
      <w:r>
        <w:t xml:space="preserve">The objective of this note is to </w:t>
      </w:r>
      <w:r w:rsidR="00035697">
        <w:t xml:space="preserve">discuss </w:t>
      </w:r>
      <w:r w:rsidR="006C2599">
        <w:t xml:space="preserve">with the </w:t>
      </w:r>
      <w:r w:rsidR="009F0E3A">
        <w:t xml:space="preserve">Member States' competent authorities </w:t>
      </w:r>
      <w:r>
        <w:t xml:space="preserve">how </w:t>
      </w:r>
      <w:r w:rsidR="00941D08">
        <w:t>the evaluation of the</w:t>
      </w:r>
      <w:r w:rsidR="00480E76">
        <w:t xml:space="preserve"> </w:t>
      </w:r>
      <w:r w:rsidR="00485C24">
        <w:t xml:space="preserve">ED criteria </w:t>
      </w:r>
      <w:r>
        <w:t xml:space="preserve">can be </w:t>
      </w:r>
      <w:r w:rsidR="00941D08">
        <w:t xml:space="preserve">performed </w:t>
      </w:r>
      <w:r w:rsidR="00426093">
        <w:t xml:space="preserve">for applications currently under examination </w:t>
      </w:r>
      <w:r w:rsidR="00474349">
        <w:t>by</w:t>
      </w:r>
      <w:r w:rsidR="00426093">
        <w:t xml:space="preserve"> Member States</w:t>
      </w:r>
      <w:r w:rsidR="005A4659">
        <w:t xml:space="preserve"> or </w:t>
      </w:r>
      <w:r w:rsidR="00773FC1">
        <w:t xml:space="preserve">the </w:t>
      </w:r>
      <w:r w:rsidR="005A4659">
        <w:t>ECHA</w:t>
      </w:r>
      <w:r w:rsidR="00474349">
        <w:t xml:space="preserve"> </w:t>
      </w:r>
      <w:r w:rsidR="00426093">
        <w:t xml:space="preserve">in the context of </w:t>
      </w:r>
      <w:r>
        <w:t xml:space="preserve">active </w:t>
      </w:r>
      <w:r w:rsidR="00480E76">
        <w:t>substances</w:t>
      </w:r>
      <w:r w:rsidR="00426093">
        <w:t xml:space="preserve"> </w:t>
      </w:r>
      <w:r w:rsidR="00426093">
        <w:lastRenderedPageBreak/>
        <w:t>approvals</w:t>
      </w:r>
      <w:r w:rsidR="00D3616C">
        <w:rPr>
          <w:rStyle w:val="FootnoteReference"/>
        </w:rPr>
        <w:footnoteReference w:id="3"/>
      </w:r>
      <w:r w:rsidR="001D5B41">
        <w:t xml:space="preserve"> or renewals </w:t>
      </w:r>
      <w:r>
        <w:t>(on-going procedures")</w:t>
      </w:r>
      <w:r w:rsidR="00766182">
        <w:t xml:space="preserve"> including the situation </w:t>
      </w:r>
      <w:r w:rsidR="006C2599">
        <w:t xml:space="preserve">in which </w:t>
      </w:r>
      <w:r w:rsidR="00766182">
        <w:t xml:space="preserve">the </w:t>
      </w:r>
      <w:proofErr w:type="spellStart"/>
      <w:r w:rsidR="00766182">
        <w:t>eCA</w:t>
      </w:r>
      <w:proofErr w:type="spellEnd"/>
      <w:r w:rsidR="00766182">
        <w:t xml:space="preserve"> has already submitted its report to ECHA</w:t>
      </w:r>
      <w:r w:rsidR="00480E76">
        <w:t xml:space="preserve">. </w:t>
      </w:r>
    </w:p>
    <w:p w14:paraId="3F22EA78" w14:textId="77777777" w:rsidR="00941D08" w:rsidRPr="00941D08" w:rsidRDefault="00E86C3E" w:rsidP="0018232C">
      <w:pPr>
        <w:pStyle w:val="Heading1"/>
      </w:pPr>
      <w:r w:rsidRPr="00E86C3E">
        <w:t xml:space="preserve">2.- </w:t>
      </w:r>
      <w:r w:rsidR="00485C24">
        <w:t xml:space="preserve">The </w:t>
      </w:r>
      <w:r w:rsidR="00941D08">
        <w:t xml:space="preserve">inclusion </w:t>
      </w:r>
      <w:r w:rsidR="00485C24">
        <w:t xml:space="preserve">of </w:t>
      </w:r>
      <w:r w:rsidR="00941D08">
        <w:t xml:space="preserve">the assessment of </w:t>
      </w:r>
      <w:r w:rsidR="0018232C">
        <w:t xml:space="preserve">the adopted </w:t>
      </w:r>
      <w:r w:rsidR="00485C24">
        <w:t>ED criteria</w:t>
      </w:r>
      <w:r w:rsidR="00941D08">
        <w:t xml:space="preserve"> for</w:t>
      </w:r>
      <w:r w:rsidR="00485C24">
        <w:t xml:space="preserve"> on-going procedures</w:t>
      </w:r>
    </w:p>
    <w:p w14:paraId="3989C24E" w14:textId="52C3A6B1" w:rsidR="00263BDA" w:rsidRDefault="006C2599" w:rsidP="00263BDA">
      <w:pPr>
        <w:pStyle w:val="ListNumber"/>
        <w:tabs>
          <w:tab w:val="left" w:pos="930"/>
        </w:tabs>
      </w:pPr>
      <w:r>
        <w:t xml:space="preserve">The </w:t>
      </w:r>
      <w:r w:rsidR="00D90B9E">
        <w:t xml:space="preserve">Regulation (EU) No 2017/2100 </w:t>
      </w:r>
      <w:r w:rsidR="002350DA">
        <w:t xml:space="preserve">specifies </w:t>
      </w:r>
      <w:r w:rsidR="00485C24">
        <w:t>that</w:t>
      </w:r>
      <w:r w:rsidR="00941D08">
        <w:t>,</w:t>
      </w:r>
      <w:r w:rsidR="00485C24">
        <w:t xml:space="preserve"> once </w:t>
      </w:r>
      <w:r w:rsidR="00FB1C8D">
        <w:t>it becomes</w:t>
      </w:r>
      <w:r w:rsidR="006E65C8">
        <w:t xml:space="preserve"> </w:t>
      </w:r>
      <w:r w:rsidR="00426093">
        <w:t>applica</w:t>
      </w:r>
      <w:r w:rsidR="00FB1C8D">
        <w:t>ble</w:t>
      </w:r>
      <w:r w:rsidR="00941D08">
        <w:t>,</w:t>
      </w:r>
      <w:r w:rsidR="00485C24">
        <w:t xml:space="preserve"> the ED criteria would apply </w:t>
      </w:r>
      <w:r w:rsidR="00773FC1">
        <w:t>to</w:t>
      </w:r>
      <w:r w:rsidR="00485C24">
        <w:t xml:space="preserve"> all on-going procedures except for procedures where the Standing Committee </w:t>
      </w:r>
      <w:r w:rsidR="00773FC1">
        <w:t xml:space="preserve">on Biocidal Products </w:t>
      </w:r>
      <w:r w:rsidR="00485C24">
        <w:t>has voted on the regulation</w:t>
      </w:r>
      <w:r w:rsidR="00773FC1">
        <w:t>, either</w:t>
      </w:r>
      <w:r w:rsidR="00941D08">
        <w:t xml:space="preserve"> approving or not approving the active substance</w:t>
      </w:r>
      <w:r w:rsidR="00485C24">
        <w:t xml:space="preserve">. </w:t>
      </w:r>
      <w:r w:rsidR="003C5BAE">
        <w:t>This implies that the newly established ED criteria have to be applied</w:t>
      </w:r>
      <w:r w:rsidR="0036611D" w:rsidRPr="0036611D">
        <w:t xml:space="preserve"> </w:t>
      </w:r>
      <w:r w:rsidR="00773FC1">
        <w:t>to</w:t>
      </w:r>
      <w:r w:rsidR="0036611D">
        <w:t xml:space="preserve"> most of the on-going procedures for active substances</w:t>
      </w:r>
      <w:r w:rsidR="003C5BAE">
        <w:t>.</w:t>
      </w:r>
    </w:p>
    <w:p w14:paraId="74EFF377" w14:textId="77777777" w:rsidR="002350DA" w:rsidRDefault="00773FC1" w:rsidP="00FA3A02">
      <w:pPr>
        <w:pStyle w:val="ListNumber"/>
      </w:pPr>
      <w:r>
        <w:t>A</w:t>
      </w:r>
      <w:r w:rsidR="002350DA">
        <w:t>rticle 90</w:t>
      </w:r>
      <w:r w:rsidR="00FA3A02">
        <w:t xml:space="preserve"> of the BPR</w:t>
      </w:r>
      <w:r>
        <w:t xml:space="preserve"> specifies the</w:t>
      </w:r>
      <w:r w:rsidR="002350DA">
        <w:t xml:space="preserve"> transitional measures concerning active substances evaluated under Directive 98/8/EC</w:t>
      </w:r>
      <w:r w:rsidR="00FA3A02">
        <w:t xml:space="preserve"> (</w:t>
      </w:r>
      <w:r w:rsidR="00FA3A02" w:rsidRPr="00FA3A02">
        <w:t>Biocidal Products Directive</w:t>
      </w:r>
      <w:r w:rsidR="00FA3A02">
        <w:t xml:space="preserve">, </w:t>
      </w:r>
      <w:r w:rsidR="00FA3A02" w:rsidRPr="00FA3A02">
        <w:t>BPD)</w:t>
      </w:r>
      <w:r w:rsidR="002350DA">
        <w:t xml:space="preserve">. </w:t>
      </w:r>
    </w:p>
    <w:p w14:paraId="345C00DC" w14:textId="77777777" w:rsidR="00E81327" w:rsidRDefault="00E81327" w:rsidP="006C2599">
      <w:pPr>
        <w:pStyle w:val="Heading2"/>
        <w:ind w:left="0"/>
      </w:pPr>
      <w:r>
        <w:t>2.1</w:t>
      </w:r>
      <w:r w:rsidRPr="0009647F">
        <w:t xml:space="preserve"> </w:t>
      </w:r>
      <w:r>
        <w:t xml:space="preserve">Active substances for which the rapporteur Member State submitted </w:t>
      </w:r>
      <w:r w:rsidRPr="00827213">
        <w:t>its assessment report</w:t>
      </w:r>
      <w:r w:rsidRPr="002350DA">
        <w:t xml:space="preserve"> before 1 September 2013</w:t>
      </w:r>
      <w:r w:rsidR="00F21563">
        <w:t xml:space="preserve"> and the Standing Committee on Biocidal Products did not deliver an opinion</w:t>
      </w:r>
    </w:p>
    <w:p w14:paraId="4899CFAA" w14:textId="77777777" w:rsidR="00827213" w:rsidRDefault="00773FC1" w:rsidP="002350DA">
      <w:pPr>
        <w:pStyle w:val="ListNumber"/>
        <w:tabs>
          <w:tab w:val="left" w:pos="930"/>
        </w:tabs>
      </w:pPr>
      <w:r>
        <w:t>Under A</w:t>
      </w:r>
      <w:r w:rsidR="002350DA">
        <w:t>rticle 90(2)</w:t>
      </w:r>
      <w:r>
        <w:t xml:space="preserve">, </w:t>
      </w:r>
      <w:r w:rsidR="002350DA">
        <w:t xml:space="preserve">applications submitted for the purposes of </w:t>
      </w:r>
      <w:r w:rsidR="00FA3A02">
        <w:t>the BPD</w:t>
      </w:r>
      <w:r>
        <w:t>, and</w:t>
      </w:r>
      <w:r w:rsidR="002350DA">
        <w:t xml:space="preserve"> for which the Member States' evaluation </w:t>
      </w:r>
      <w:r>
        <w:t xml:space="preserve">was </w:t>
      </w:r>
      <w:r w:rsidR="002350DA">
        <w:t>not completed by 1 September 2013</w:t>
      </w:r>
      <w:r>
        <w:t>, must</w:t>
      </w:r>
      <w:r w:rsidR="002350DA">
        <w:t xml:space="preserve"> be evaluated in accordance with the provisions of the BPR</w:t>
      </w:r>
      <w:r w:rsidR="00766182">
        <w:rPr>
          <w:rStyle w:val="FootnoteReference"/>
        </w:rPr>
        <w:footnoteReference w:id="4"/>
      </w:r>
      <w:r w:rsidR="002350DA">
        <w:t xml:space="preserve">. The interpretation given to this article, and </w:t>
      </w:r>
      <w:r w:rsidR="008B76D4">
        <w:t xml:space="preserve">its </w:t>
      </w:r>
      <w:r w:rsidR="002350DA">
        <w:t>implement</w:t>
      </w:r>
      <w:r w:rsidR="008B76D4">
        <w:t>ation</w:t>
      </w:r>
      <w:r w:rsidR="002350DA">
        <w:t xml:space="preserve"> in practice, is that </w:t>
      </w:r>
      <w:bookmarkStart w:id="1" w:name="_Hlk485912554"/>
      <w:r w:rsidR="002350DA">
        <w:t xml:space="preserve">substances for which the </w:t>
      </w:r>
      <w:r w:rsidR="00827213">
        <w:t xml:space="preserve">rapporteur Member State submitted </w:t>
      </w:r>
      <w:r>
        <w:t>an</w:t>
      </w:r>
      <w:r w:rsidR="00827213" w:rsidRPr="00827213">
        <w:t xml:space="preserve"> </w:t>
      </w:r>
      <w:r w:rsidR="002350DA" w:rsidRPr="00827213">
        <w:t>assessment report</w:t>
      </w:r>
      <w:r w:rsidR="002350DA" w:rsidRPr="002350DA">
        <w:rPr>
          <w:b/>
        </w:rPr>
        <w:t xml:space="preserve"> before 1 September 2013</w:t>
      </w:r>
      <w:r w:rsidR="0036611D">
        <w:t xml:space="preserve"> ha</w:t>
      </w:r>
      <w:r>
        <w:t>ve</w:t>
      </w:r>
      <w:r w:rsidR="0036611D">
        <w:t xml:space="preserve"> to be evaluated in accordance with the </w:t>
      </w:r>
      <w:r>
        <w:t xml:space="preserve">BPD </w:t>
      </w:r>
      <w:r w:rsidR="0036611D">
        <w:t>provisions and principles</w:t>
      </w:r>
      <w:bookmarkEnd w:id="1"/>
      <w:r w:rsidR="002350DA" w:rsidRPr="003C4176">
        <w:t>.</w:t>
      </w:r>
      <w:r w:rsidR="002350DA">
        <w:t xml:space="preserve">  </w:t>
      </w:r>
    </w:p>
    <w:p w14:paraId="4FC07B22" w14:textId="77777777" w:rsidR="00D27721" w:rsidRDefault="002350DA" w:rsidP="00D27721">
      <w:pPr>
        <w:pStyle w:val="ListNumber"/>
        <w:tabs>
          <w:tab w:val="left" w:pos="930"/>
        </w:tabs>
      </w:pPr>
      <w:r>
        <w:t>Th</w:t>
      </w:r>
      <w:r w:rsidR="00827213">
        <w:t>e</w:t>
      </w:r>
      <w:r w:rsidR="00120EE5">
        <w:t>refore,</w:t>
      </w:r>
      <w:r w:rsidR="00827213">
        <w:t xml:space="preserve"> the conditions </w:t>
      </w:r>
      <w:r w:rsidR="00120EE5">
        <w:t xml:space="preserve">and regulatory consequences </w:t>
      </w:r>
      <w:r w:rsidR="00827213">
        <w:t>set out under Article 5</w:t>
      </w:r>
      <w:r w:rsidR="00426093">
        <w:t>(1)</w:t>
      </w:r>
      <w:r w:rsidR="00827213">
        <w:t xml:space="preserve"> of the BPR </w:t>
      </w:r>
      <w:r w:rsidR="00427EFC">
        <w:t>do</w:t>
      </w:r>
      <w:r w:rsidR="00827213">
        <w:t xml:space="preserve"> not apply </w:t>
      </w:r>
      <w:r w:rsidR="00773FC1">
        <w:t>to</w:t>
      </w:r>
      <w:r w:rsidR="00827213">
        <w:t xml:space="preserve"> substances for which the assessment report was submitted before 1 September 2013</w:t>
      </w:r>
      <w:r w:rsidR="00A227A9">
        <w:t xml:space="preserve"> and t</w:t>
      </w:r>
      <w:r w:rsidR="00D27721">
        <w:t>he substance</w:t>
      </w:r>
      <w:r w:rsidR="00DD0CC4">
        <w:t xml:space="preserve"> </w:t>
      </w:r>
      <w:r w:rsidR="00D27721">
        <w:t>should be approved by the Commission if it fulfils the provisions of the BPD</w:t>
      </w:r>
      <w:r w:rsidR="00AE2F3A">
        <w:rPr>
          <w:rStyle w:val="FootnoteReference"/>
        </w:rPr>
        <w:footnoteReference w:id="5"/>
      </w:r>
      <w:r w:rsidR="00D27721">
        <w:t>.</w:t>
      </w:r>
      <w:r w:rsidR="00595C6E">
        <w:t xml:space="preserve">  </w:t>
      </w:r>
      <w:r w:rsidR="00773FC1">
        <w:t>This also applies where there are indications that the substance may have ED properties</w:t>
      </w:r>
      <w:r w:rsidR="00E81327">
        <w:t>.</w:t>
      </w:r>
      <w:r w:rsidR="00773FC1">
        <w:t xml:space="preserve"> </w:t>
      </w:r>
    </w:p>
    <w:p w14:paraId="2640A10B" w14:textId="018D35DE" w:rsidR="00CE67D4" w:rsidRDefault="00CE67D4" w:rsidP="0037034E">
      <w:pPr>
        <w:pStyle w:val="ListNumber"/>
      </w:pPr>
      <w:r>
        <w:t xml:space="preserve">Currently, </w:t>
      </w:r>
      <w:r w:rsidR="00426093">
        <w:t xml:space="preserve">with regards to </w:t>
      </w:r>
      <w:r w:rsidR="00773FC1">
        <w:t>EDs</w:t>
      </w:r>
      <w:r w:rsidR="00426093">
        <w:t xml:space="preserve">, </w:t>
      </w:r>
      <w:r w:rsidR="00773FC1">
        <w:t xml:space="preserve">the </w:t>
      </w:r>
      <w:proofErr w:type="spellStart"/>
      <w:r w:rsidR="00550F9B">
        <w:t>eCA</w:t>
      </w:r>
      <w:proofErr w:type="spellEnd"/>
      <w:r>
        <w:t xml:space="preserve"> assesses whether or not a substance fulfils the interim criteria</w:t>
      </w:r>
      <w:r w:rsidR="00426093">
        <w:t>, including</w:t>
      </w:r>
      <w:r>
        <w:t xml:space="preserve"> for substances for which the rapporteur Member State submitted </w:t>
      </w:r>
      <w:r w:rsidRPr="00827213">
        <w:t>its assessment report</w:t>
      </w:r>
      <w:r w:rsidRPr="002350DA">
        <w:rPr>
          <w:b/>
        </w:rPr>
        <w:t xml:space="preserve"> </w:t>
      </w:r>
      <w:r w:rsidRPr="002C55EB">
        <w:t>before 1 September 2013.</w:t>
      </w:r>
      <w:r>
        <w:t xml:space="preserve"> Th</w:t>
      </w:r>
      <w:r w:rsidR="0037034E">
        <w:t>e</w:t>
      </w:r>
      <w:r>
        <w:t xml:space="preserve"> information</w:t>
      </w:r>
      <w:r w:rsidR="006E65C8">
        <w:t xml:space="preserve"> </w:t>
      </w:r>
      <w:r w:rsidR="0037034E" w:rsidRPr="0037034E">
        <w:t xml:space="preserve">in the ECHA opinion </w:t>
      </w:r>
      <w:r w:rsidR="00773FC1">
        <w:t>as to</w:t>
      </w:r>
      <w:r w:rsidR="00900F5B">
        <w:t xml:space="preserve"> </w:t>
      </w:r>
      <w:r w:rsidR="006E65C8">
        <w:t xml:space="preserve">whether an active substance </w:t>
      </w:r>
      <w:r w:rsidR="006C2599">
        <w:t>meets</w:t>
      </w:r>
      <w:r w:rsidR="00773FC1">
        <w:t xml:space="preserve"> </w:t>
      </w:r>
      <w:r w:rsidR="006E65C8">
        <w:t>the</w:t>
      </w:r>
      <w:r w:rsidR="00451915">
        <w:t xml:space="preserve"> interim</w:t>
      </w:r>
      <w:r w:rsidR="006E65C8">
        <w:t xml:space="preserve"> </w:t>
      </w:r>
      <w:r w:rsidR="00F91DF7">
        <w:t xml:space="preserve">ED </w:t>
      </w:r>
      <w:r w:rsidR="006E65C8">
        <w:t xml:space="preserve">criteria </w:t>
      </w:r>
      <w:r>
        <w:t xml:space="preserve">does not </w:t>
      </w:r>
      <w:r w:rsidR="00773FC1">
        <w:t xml:space="preserve">result in </w:t>
      </w:r>
      <w:r>
        <w:t xml:space="preserve">the </w:t>
      </w:r>
      <w:r w:rsidR="00682184">
        <w:t xml:space="preserve">non-approval </w:t>
      </w:r>
      <w:r>
        <w:t>of the active substance</w:t>
      </w:r>
      <w:r w:rsidR="00120EE5">
        <w:t xml:space="preserve">. However, </w:t>
      </w:r>
      <w:r w:rsidR="006E65C8">
        <w:t xml:space="preserve">the </w:t>
      </w:r>
      <w:r w:rsidR="00426093">
        <w:t xml:space="preserve">Commission and </w:t>
      </w:r>
      <w:r w:rsidR="00773FC1">
        <w:t xml:space="preserve">the </w:t>
      </w:r>
      <w:r w:rsidR="00426093">
        <w:t xml:space="preserve">Member States </w:t>
      </w:r>
      <w:r w:rsidR="00773FC1">
        <w:t xml:space="preserve">have </w:t>
      </w:r>
      <w:r w:rsidR="00120EE5">
        <w:t xml:space="preserve">agreed not to </w:t>
      </w:r>
      <w:r w:rsidR="00426093">
        <w:t>grant</w:t>
      </w:r>
      <w:r w:rsidR="00120EE5">
        <w:t xml:space="preserve"> the </w:t>
      </w:r>
      <w:r w:rsidR="00426093">
        <w:t>maximum</w:t>
      </w:r>
      <w:r w:rsidR="00773FC1">
        <w:t xml:space="preserve"> approval period of </w:t>
      </w:r>
      <w:r w:rsidR="00426093">
        <w:t>10 years</w:t>
      </w:r>
      <w:r w:rsidR="00773FC1">
        <w:t xml:space="preserve"> laid down </w:t>
      </w:r>
      <w:r w:rsidR="00120EE5">
        <w:t xml:space="preserve">in </w:t>
      </w:r>
      <w:r w:rsidR="00120EE5">
        <w:lastRenderedPageBreak/>
        <w:t>the BPD</w:t>
      </w:r>
      <w:r w:rsidR="00426093">
        <w:t xml:space="preserve">, but a limited </w:t>
      </w:r>
      <w:r w:rsidR="006E65C8">
        <w:t>five</w:t>
      </w:r>
      <w:r w:rsidR="00900F5B">
        <w:t>-</w:t>
      </w:r>
      <w:r w:rsidR="00426093">
        <w:t xml:space="preserve">year approval </w:t>
      </w:r>
      <w:r w:rsidR="00773FC1" w:rsidRPr="00A227A9">
        <w:t>period</w:t>
      </w:r>
      <w:r w:rsidR="00D65C7F" w:rsidRPr="00A227A9">
        <w:t>.</w:t>
      </w:r>
      <w:r w:rsidR="007D72C6" w:rsidRPr="00A227A9">
        <w:t xml:space="preserve"> </w:t>
      </w:r>
      <w:r w:rsidR="00D65C7F" w:rsidRPr="00A227A9">
        <w:t xml:space="preserve">This approach is </w:t>
      </w:r>
      <w:r w:rsidR="00773FC1" w:rsidRPr="00A227A9">
        <w:t>in line</w:t>
      </w:r>
      <w:r w:rsidR="00D65C7F" w:rsidRPr="00A227A9">
        <w:t xml:space="preserve"> with</w:t>
      </w:r>
      <w:r w:rsidR="00426093" w:rsidRPr="00A227A9">
        <w:t xml:space="preserve"> the practi</w:t>
      </w:r>
      <w:r w:rsidR="006C2599">
        <w:t>c</w:t>
      </w:r>
      <w:r w:rsidR="00426093" w:rsidRPr="00A227A9">
        <w:t>e followed under the BP</w:t>
      </w:r>
      <w:r w:rsidR="00AB2C60" w:rsidRPr="00A227A9">
        <w:t>D</w:t>
      </w:r>
      <w:r w:rsidR="00426093" w:rsidRPr="00A227A9">
        <w:t xml:space="preserve"> for </w:t>
      </w:r>
      <w:r w:rsidR="00BA7316" w:rsidRPr="00A227A9">
        <w:t xml:space="preserve">active substances that </w:t>
      </w:r>
      <w:r w:rsidR="00AC25F2" w:rsidRPr="00A227A9">
        <w:t xml:space="preserve">are covered by </w:t>
      </w:r>
      <w:r w:rsidR="00BA7316" w:rsidRPr="00A227A9">
        <w:t>exclusion criteria</w:t>
      </w:r>
      <w:r w:rsidRPr="00A227A9">
        <w:rPr>
          <w:rStyle w:val="FootnoteReference"/>
        </w:rPr>
        <w:footnoteReference w:id="6"/>
      </w:r>
      <w:r w:rsidR="00120EE5" w:rsidRPr="00A227A9">
        <w:t>. This information on ED properties in the ECHA</w:t>
      </w:r>
      <w:r w:rsidR="00120EE5">
        <w:t xml:space="preserve"> </w:t>
      </w:r>
      <w:r w:rsidR="008B44DB">
        <w:t>opinion</w:t>
      </w:r>
      <w:r w:rsidR="00C35E90">
        <w:t xml:space="preserve"> </w:t>
      </w:r>
      <w:r w:rsidR="008B44DB">
        <w:t xml:space="preserve">and the assessment report of the </w:t>
      </w:r>
      <w:proofErr w:type="spellStart"/>
      <w:r w:rsidR="008B44DB">
        <w:t>eCA</w:t>
      </w:r>
      <w:proofErr w:type="spellEnd"/>
      <w:r w:rsidR="00120EE5">
        <w:t xml:space="preserve"> is also used in the authorisation of biocidal products containing substance</w:t>
      </w:r>
      <w:r w:rsidR="00426093">
        <w:t>s</w:t>
      </w:r>
      <w:r w:rsidR="00AC25F2">
        <w:t xml:space="preserve"> with ED properties</w:t>
      </w:r>
      <w:r w:rsidR="006F03F6">
        <w:rPr>
          <w:rStyle w:val="FootnoteReference"/>
        </w:rPr>
        <w:footnoteReference w:id="7"/>
      </w:r>
      <w:r w:rsidR="001D5B41">
        <w:t>. A</w:t>
      </w:r>
      <w:r w:rsidR="00864CC3">
        <w:t xml:space="preserve"> biocidal product containing a substance with </w:t>
      </w:r>
      <w:r w:rsidR="004E1A92">
        <w:t>ED</w:t>
      </w:r>
      <w:r w:rsidR="00864CC3">
        <w:t xml:space="preserve"> properties, or fulfilling the interim criteria </w:t>
      </w:r>
      <w:r w:rsidR="00FA27C7">
        <w:t>until the criteria in Commission Regulation (EU) 2017/2100 will apply</w:t>
      </w:r>
      <w:r w:rsidR="00864CC3">
        <w:t xml:space="preserve">, can only be authorised </w:t>
      </w:r>
      <w:r w:rsidR="00426093">
        <w:t xml:space="preserve">by a Member State </w:t>
      </w:r>
      <w:r w:rsidR="00864CC3">
        <w:t>if one of the conditions of Article 5(2) of the BPR are met</w:t>
      </w:r>
      <w:r w:rsidR="00120EE5">
        <w:rPr>
          <w:rStyle w:val="FootnoteReference"/>
        </w:rPr>
        <w:footnoteReference w:id="8"/>
      </w:r>
      <w:r w:rsidR="00F91DF7">
        <w:t xml:space="preserve"> </w:t>
      </w:r>
      <w:r w:rsidR="00426093">
        <w:t>in that Member State</w:t>
      </w:r>
      <w:r>
        <w:t xml:space="preserve">.  </w:t>
      </w:r>
    </w:p>
    <w:p w14:paraId="186EE6BC" w14:textId="77777777" w:rsidR="00900F5B" w:rsidRDefault="00AC25F2" w:rsidP="0061606D">
      <w:pPr>
        <w:pStyle w:val="ListNumber"/>
        <w:tabs>
          <w:tab w:val="left" w:pos="930"/>
        </w:tabs>
      </w:pPr>
      <w:r>
        <w:t>In view of the c</w:t>
      </w:r>
      <w:r w:rsidR="00426093">
        <w:t>onsider</w:t>
      </w:r>
      <w:r>
        <w:t>ations</w:t>
      </w:r>
      <w:r w:rsidR="00426093">
        <w:t xml:space="preserve"> above, and in particular </w:t>
      </w:r>
      <w:r w:rsidR="009C2BA5">
        <w:t>that</w:t>
      </w:r>
      <w:r w:rsidR="00426093">
        <w:t xml:space="preserve"> such </w:t>
      </w:r>
      <w:r>
        <w:t xml:space="preserve">a </w:t>
      </w:r>
      <w:r w:rsidR="00426093">
        <w:t>substance has to be evaluated in accordance with the provisions and principles of the BPD, i</w:t>
      </w:r>
      <w:r w:rsidR="0061606D">
        <w:t>t is proposed that</w:t>
      </w:r>
    </w:p>
    <w:p w14:paraId="71967590" w14:textId="77777777" w:rsidR="00900F5B" w:rsidRDefault="003A3CB3" w:rsidP="00504D8C">
      <w:pPr>
        <w:pStyle w:val="ListNumberLevel2"/>
      </w:pPr>
      <w:r>
        <w:t>I</w:t>
      </w:r>
      <w:r w:rsidR="00AC25F2">
        <w:t xml:space="preserve">n line with </w:t>
      </w:r>
      <w:r w:rsidR="00C87B17">
        <w:t xml:space="preserve">what is provided in Article 90(2) of the BPR for the procedures for which the assessment report is submitted </w:t>
      </w:r>
      <w:r w:rsidR="00B718E5">
        <w:t>before</w:t>
      </w:r>
      <w:r w:rsidR="00C87B17">
        <w:t xml:space="preserve"> 1 September 2013, </w:t>
      </w:r>
      <w:r w:rsidR="00987068" w:rsidRPr="00987068">
        <w:t xml:space="preserve">the applicant </w:t>
      </w:r>
      <w:r w:rsidR="00316BF2">
        <w:t xml:space="preserve">will be informed about the data that is lacking in order to conclude on ED properties of the active substance and </w:t>
      </w:r>
      <w:r w:rsidR="00AC25F2">
        <w:t>must</w:t>
      </w:r>
      <w:r w:rsidR="00987068" w:rsidRPr="00987068">
        <w:t xml:space="preserve"> be given the opportunity to submit additional information</w:t>
      </w:r>
      <w:r w:rsidR="00A227A9">
        <w:rPr>
          <w:rStyle w:val="FootnoteReference"/>
        </w:rPr>
        <w:footnoteReference w:id="9"/>
      </w:r>
      <w:r w:rsidR="00987068">
        <w:t xml:space="preserve"> within the time limits set by the </w:t>
      </w:r>
      <w:proofErr w:type="spellStart"/>
      <w:r w:rsidR="00987068">
        <w:t>eCA</w:t>
      </w:r>
      <w:proofErr w:type="spellEnd"/>
      <w:r w:rsidR="00987068">
        <w:t>; and</w:t>
      </w:r>
    </w:p>
    <w:p w14:paraId="34290927" w14:textId="21584258" w:rsidR="00316BF2" w:rsidRPr="006552F3" w:rsidRDefault="00AC25F2" w:rsidP="003D3736">
      <w:pPr>
        <w:pStyle w:val="ListNumberLevel2"/>
      </w:pPr>
      <w:r>
        <w:t xml:space="preserve">the </w:t>
      </w:r>
      <w:r w:rsidR="0061606D">
        <w:t>ECHA</w:t>
      </w:r>
      <w:r w:rsidR="00C64A44">
        <w:t xml:space="preserve"> and the </w:t>
      </w:r>
      <w:proofErr w:type="spellStart"/>
      <w:r w:rsidR="0005149C">
        <w:t>eCA</w:t>
      </w:r>
      <w:proofErr w:type="spellEnd"/>
      <w:r w:rsidR="0005149C">
        <w:t xml:space="preserve"> </w:t>
      </w:r>
      <w:r w:rsidR="0061606D">
        <w:t xml:space="preserve">assess </w:t>
      </w:r>
      <w:r w:rsidR="001D5B41">
        <w:t xml:space="preserve">whether the active substance </w:t>
      </w:r>
      <w:r w:rsidR="004F1882">
        <w:t xml:space="preserve">should be </w:t>
      </w:r>
      <w:r w:rsidR="00825E0C">
        <w:t xml:space="preserve"> considered as having </w:t>
      </w:r>
      <w:r w:rsidR="001D5B41">
        <w:t>ED properties</w:t>
      </w:r>
      <w:r w:rsidR="00011B2F">
        <w:rPr>
          <w:rStyle w:val="FootnoteReference"/>
        </w:rPr>
        <w:footnoteReference w:id="10"/>
      </w:r>
      <w:r w:rsidR="0061606D">
        <w:t xml:space="preserve"> on the basis of </w:t>
      </w:r>
      <w:r w:rsidR="0061606D" w:rsidRPr="009A1563">
        <w:t xml:space="preserve">information </w:t>
      </w:r>
      <w:r w:rsidR="00C64A44" w:rsidRPr="009A1563">
        <w:t xml:space="preserve">already </w:t>
      </w:r>
      <w:r w:rsidR="0061606D" w:rsidRPr="006552F3">
        <w:t>submitted in the current dossier</w:t>
      </w:r>
      <w:r w:rsidR="001C5D68" w:rsidRPr="006552F3">
        <w:t xml:space="preserve"> </w:t>
      </w:r>
      <w:r w:rsidR="00316BF2" w:rsidRPr="006552F3">
        <w:t>and/</w:t>
      </w:r>
      <w:r w:rsidR="001C5D68" w:rsidRPr="006552F3">
        <w:t>or provided b</w:t>
      </w:r>
      <w:r w:rsidR="009B45B8" w:rsidRPr="006552F3">
        <w:t xml:space="preserve">y the applicant (see paragraph </w:t>
      </w:r>
      <w:r w:rsidR="00847D94" w:rsidRPr="00F753D2">
        <w:t>9</w:t>
      </w:r>
      <w:r w:rsidR="009C2BA5" w:rsidRPr="00F753D2">
        <w:t>a</w:t>
      </w:r>
      <w:r w:rsidR="001C5D68" w:rsidRPr="006552F3">
        <w:t>)</w:t>
      </w:r>
      <w:r w:rsidR="00302023" w:rsidDel="00302023">
        <w:rPr>
          <w:rStyle w:val="FootnoteReference"/>
        </w:rPr>
        <w:t xml:space="preserve"> </w:t>
      </w:r>
      <w:r w:rsidR="0061606D" w:rsidRPr="009A1563">
        <w:t xml:space="preserve">. </w:t>
      </w:r>
      <w:r w:rsidR="0061606D" w:rsidRPr="006552F3">
        <w:t xml:space="preserve">In </w:t>
      </w:r>
      <w:r w:rsidRPr="006552F3">
        <w:t>line with t</w:t>
      </w:r>
      <w:r w:rsidR="0061606D" w:rsidRPr="006552F3">
        <w:t>he approach followed so far</w:t>
      </w:r>
      <w:r w:rsidR="00F26828" w:rsidRPr="006552F3">
        <w:t xml:space="preserve"> (see paragraph </w:t>
      </w:r>
      <w:r w:rsidR="00847D94" w:rsidRPr="00F753D2">
        <w:t>8</w:t>
      </w:r>
      <w:r w:rsidR="00F26828" w:rsidRPr="006552F3">
        <w:t>)</w:t>
      </w:r>
      <w:r w:rsidR="0061606D" w:rsidRPr="009A1563">
        <w:t>,</w:t>
      </w:r>
      <w:r w:rsidR="009B45B8" w:rsidRPr="009A1563">
        <w:t xml:space="preserve"> </w:t>
      </w:r>
      <w:r w:rsidR="000A563C">
        <w:t xml:space="preserve">the </w:t>
      </w:r>
      <w:r w:rsidR="0061606D" w:rsidRPr="006552F3">
        <w:t xml:space="preserve">information in the </w:t>
      </w:r>
      <w:r w:rsidR="00C64A44" w:rsidRPr="006552F3">
        <w:t>BPC</w:t>
      </w:r>
      <w:r w:rsidR="0061606D" w:rsidRPr="006552F3">
        <w:t xml:space="preserve"> opinion </w:t>
      </w:r>
      <w:r w:rsidRPr="006552F3">
        <w:t>on ED properties would</w:t>
      </w:r>
      <w:r w:rsidR="0061606D" w:rsidRPr="006552F3">
        <w:t xml:space="preserve"> not lead to the</w:t>
      </w:r>
      <w:r w:rsidR="009B45B8" w:rsidRPr="006552F3">
        <w:t xml:space="preserve"> </w:t>
      </w:r>
      <w:r w:rsidR="00A227A9">
        <w:t>non-approval</w:t>
      </w:r>
      <w:r w:rsidR="0061606D" w:rsidRPr="006552F3">
        <w:t xml:space="preserve"> of the active substance, but</w:t>
      </w:r>
      <w:r w:rsidR="00F26828" w:rsidRPr="006552F3">
        <w:t xml:space="preserve"> </w:t>
      </w:r>
      <w:r w:rsidRPr="006552F3">
        <w:t>c</w:t>
      </w:r>
      <w:r w:rsidR="00C64A44" w:rsidRPr="006552F3">
        <w:t xml:space="preserve">ould </w:t>
      </w:r>
      <w:r w:rsidRPr="006552F3">
        <w:t xml:space="preserve">have an effect on  </w:t>
      </w:r>
      <w:r w:rsidR="0061606D" w:rsidRPr="006552F3">
        <w:t>the duration of the proposed approval</w:t>
      </w:r>
      <w:r w:rsidR="00460A58" w:rsidRPr="006552F3">
        <w:t xml:space="preserve">, </w:t>
      </w:r>
      <w:r w:rsidR="009C2BA5" w:rsidRPr="006552F3">
        <w:t>the</w:t>
      </w:r>
      <w:r w:rsidR="00C64A44" w:rsidRPr="006552F3">
        <w:t xml:space="preserve"> conditions of approval</w:t>
      </w:r>
      <w:r w:rsidR="0061606D" w:rsidRPr="006552F3">
        <w:t xml:space="preserve"> and t</w:t>
      </w:r>
      <w:r w:rsidRPr="006552F3">
        <w:t>he</w:t>
      </w:r>
      <w:r w:rsidR="0061606D" w:rsidRPr="006552F3">
        <w:t xml:space="preserve"> product authorisation</w:t>
      </w:r>
      <w:r w:rsidR="00316BF2" w:rsidRPr="006552F3">
        <w:t>; and</w:t>
      </w:r>
    </w:p>
    <w:p w14:paraId="2550F01E" w14:textId="51F5E264" w:rsidR="00C35E90" w:rsidRDefault="006D2AF7" w:rsidP="003D3736">
      <w:pPr>
        <w:pStyle w:val="ListNumberLevel2"/>
      </w:pPr>
      <w:r>
        <w:lastRenderedPageBreak/>
        <w:t xml:space="preserve">the BPC opinion will include, if the relevant data </w:t>
      </w:r>
      <w:r w:rsidR="00316BF2" w:rsidRPr="006552F3">
        <w:t xml:space="preserve"> </w:t>
      </w:r>
      <w:r>
        <w:t xml:space="preserve">required to conclude on ED properties </w:t>
      </w:r>
      <w:r w:rsidR="00316BF2" w:rsidRPr="006552F3">
        <w:t>will not be provided before the BPC reaches an opinion on the dossier,  that the</w:t>
      </w:r>
      <w:r w:rsidR="00A52692">
        <w:t xml:space="preserve"> </w:t>
      </w:r>
      <w:r w:rsidR="00847D94">
        <w:t>necessary</w:t>
      </w:r>
      <w:r w:rsidR="00316BF2" w:rsidRPr="006552F3">
        <w:t xml:space="preserve"> data was not submitted</w:t>
      </w:r>
      <w:r w:rsidR="002C682C" w:rsidRPr="006552F3">
        <w:rPr>
          <w:rStyle w:val="FootnoteReference"/>
        </w:rPr>
        <w:footnoteReference w:id="11"/>
      </w:r>
      <w:r w:rsidR="00316BF2" w:rsidRPr="006552F3">
        <w:t xml:space="preserve"> and that no conclusion could be drawn on the ED properties</w:t>
      </w:r>
      <w:r w:rsidR="00A9167E">
        <w:t>; and</w:t>
      </w:r>
      <w:r w:rsidR="00316BF2" w:rsidRPr="006552F3">
        <w:t xml:space="preserve"> </w:t>
      </w:r>
    </w:p>
    <w:p w14:paraId="2D18654C" w14:textId="77777777" w:rsidR="0061606D" w:rsidRPr="006552F3" w:rsidRDefault="00F21563" w:rsidP="003D3736">
      <w:pPr>
        <w:pStyle w:val="ListNumberLevel2"/>
      </w:pPr>
      <w:r>
        <w:t xml:space="preserve">the substance should be approved by the Commission if it fulfils the </w:t>
      </w:r>
      <w:r w:rsidR="00C35E90">
        <w:t xml:space="preserve">relevant </w:t>
      </w:r>
      <w:r>
        <w:t xml:space="preserve">provisions </w:t>
      </w:r>
      <w:r w:rsidR="00C35E90">
        <w:t xml:space="preserve">for approval as included in the </w:t>
      </w:r>
      <w:r>
        <w:t>BPD</w:t>
      </w:r>
      <w:r w:rsidR="00C35E90">
        <w:t xml:space="preserve"> notwithstanding no conclusion could be drawn on the ED properties of the active substance</w:t>
      </w:r>
      <w:r w:rsidR="00C35E90">
        <w:rPr>
          <w:rStyle w:val="FootnoteReference"/>
        </w:rPr>
        <w:footnoteReference w:id="12"/>
      </w:r>
      <w:r>
        <w:t>.</w:t>
      </w:r>
    </w:p>
    <w:p w14:paraId="1BF2E981" w14:textId="77777777" w:rsidR="00C64A44" w:rsidRDefault="00C64A44" w:rsidP="00504D8C">
      <w:pPr>
        <w:pStyle w:val="ListNumber"/>
        <w:numPr>
          <w:ilvl w:val="0"/>
          <w:numId w:val="0"/>
        </w:numPr>
        <w:tabs>
          <w:tab w:val="left" w:pos="930"/>
        </w:tabs>
        <w:ind w:left="709"/>
      </w:pPr>
    </w:p>
    <w:p w14:paraId="50F4CBFC" w14:textId="77777777" w:rsidR="0009647F" w:rsidRDefault="0009647F" w:rsidP="0018232C">
      <w:pPr>
        <w:pStyle w:val="Heading2"/>
      </w:pPr>
      <w:r>
        <w:t>2.2</w:t>
      </w:r>
      <w:r w:rsidRPr="0009647F">
        <w:t xml:space="preserve"> </w:t>
      </w:r>
      <w:r w:rsidR="00A11F17">
        <w:t>Active s</w:t>
      </w:r>
      <w:r>
        <w:t xml:space="preserve">ubstances for which the </w:t>
      </w:r>
      <w:r w:rsidRPr="00B54474">
        <w:t xml:space="preserve">assessment report </w:t>
      </w:r>
      <w:r w:rsidR="00F0546C">
        <w:t>is</w:t>
      </w:r>
      <w:r w:rsidR="00F0546C" w:rsidRPr="00B54474">
        <w:t xml:space="preserve"> </w:t>
      </w:r>
      <w:r w:rsidRPr="00B54474">
        <w:t xml:space="preserve">submitted </w:t>
      </w:r>
      <w:r>
        <w:t>after</w:t>
      </w:r>
      <w:r w:rsidRPr="00B54474">
        <w:t xml:space="preserve"> 1 September 2013</w:t>
      </w:r>
    </w:p>
    <w:p w14:paraId="5A425F62" w14:textId="0DC7A302" w:rsidR="003233E4" w:rsidRPr="00112452" w:rsidRDefault="00C761AC" w:rsidP="00695E5A">
      <w:pPr>
        <w:pStyle w:val="ListNumber"/>
      </w:pPr>
      <w:r>
        <w:t xml:space="preserve">Following </w:t>
      </w:r>
      <w:r w:rsidR="00112452">
        <w:t xml:space="preserve">the </w:t>
      </w:r>
      <w:r>
        <w:t xml:space="preserve">adoption of the ED criteria, for </w:t>
      </w:r>
      <w:r w:rsidR="00A11F17">
        <w:t xml:space="preserve">active </w:t>
      </w:r>
      <w:r>
        <w:t xml:space="preserve">substances for which the </w:t>
      </w:r>
      <w:r w:rsidRPr="00673B27">
        <w:t xml:space="preserve">assessment report </w:t>
      </w:r>
      <w:r w:rsidR="0005149C">
        <w:t>is</w:t>
      </w:r>
      <w:r w:rsidR="0005149C" w:rsidRPr="00673B27">
        <w:t xml:space="preserve"> </w:t>
      </w:r>
      <w:r w:rsidRPr="00673B27">
        <w:t>submitted after 1 September 2013</w:t>
      </w:r>
      <w:r w:rsidR="00A662B4" w:rsidRPr="00673B27">
        <w:t xml:space="preserve"> (</w:t>
      </w:r>
      <w:r w:rsidR="00122750" w:rsidRPr="00673B27">
        <w:t>i.e.</w:t>
      </w:r>
      <w:r w:rsidR="00A662B4" w:rsidRPr="00673B27">
        <w:t xml:space="preserve"> </w:t>
      </w:r>
      <w:r w:rsidR="009B3904" w:rsidRPr="00673B27">
        <w:t xml:space="preserve">assessment report </w:t>
      </w:r>
      <w:r w:rsidR="00A662B4" w:rsidRPr="00673B27">
        <w:t xml:space="preserve">submitted </w:t>
      </w:r>
      <w:r w:rsidR="009B3904" w:rsidRPr="00673B27">
        <w:t>after</w:t>
      </w:r>
      <w:r w:rsidR="00A662B4" w:rsidRPr="00673B27">
        <w:t xml:space="preserve"> 1</w:t>
      </w:r>
      <w:r w:rsidR="00A662B4" w:rsidRPr="00074086">
        <w:rPr>
          <w:vertAlign w:val="superscript"/>
        </w:rPr>
        <w:t>st</w:t>
      </w:r>
      <w:r w:rsidR="00A662B4" w:rsidRPr="00673B27">
        <w:t xml:space="preserve"> September</w:t>
      </w:r>
      <w:r w:rsidR="00BE11C0" w:rsidRPr="00673B27">
        <w:t xml:space="preserve"> 2013</w:t>
      </w:r>
      <w:r w:rsidR="00241639" w:rsidRPr="00673B27">
        <w:t xml:space="preserve"> and still under review by </w:t>
      </w:r>
      <w:r w:rsidR="00254620">
        <w:t xml:space="preserve">the </w:t>
      </w:r>
      <w:r w:rsidR="00241639" w:rsidRPr="00673B27">
        <w:t>ECHA</w:t>
      </w:r>
      <w:r w:rsidR="00A662B4" w:rsidRPr="00673B27">
        <w:t>, or still to be submitted</w:t>
      </w:r>
      <w:r w:rsidR="00241639" w:rsidRPr="00673B27">
        <w:t xml:space="preserve"> by the </w:t>
      </w:r>
      <w:proofErr w:type="spellStart"/>
      <w:r w:rsidR="00241639" w:rsidRPr="00673B27">
        <w:t>e</w:t>
      </w:r>
      <w:r w:rsidR="0005149C">
        <w:t>CA</w:t>
      </w:r>
      <w:proofErr w:type="spellEnd"/>
      <w:r w:rsidR="0021354D">
        <w:t>)</w:t>
      </w:r>
      <w:r w:rsidR="002B05FE" w:rsidRPr="00673B27">
        <w:t>,</w:t>
      </w:r>
      <w:r w:rsidRPr="00673B27">
        <w:t xml:space="preserve"> the newly established ED crite</w:t>
      </w:r>
      <w:r>
        <w:t>ria</w:t>
      </w:r>
      <w:r w:rsidR="001F5913">
        <w:t xml:space="preserve"> for the evaluation of a substance</w:t>
      </w:r>
      <w:r w:rsidR="00A662B4">
        <w:t xml:space="preserve"> </w:t>
      </w:r>
      <w:r w:rsidR="00305E5B">
        <w:t>are applicable</w:t>
      </w:r>
      <w:r w:rsidR="00A11F17">
        <w:t xml:space="preserve"> from the date of application </w:t>
      </w:r>
      <w:r w:rsidR="0005149C">
        <w:t>of</w:t>
      </w:r>
      <w:r w:rsidR="00A11F17">
        <w:t xml:space="preserve"> the</w:t>
      </w:r>
      <w:r w:rsidR="00D90B9E">
        <w:t xml:space="preserve"> Regul</w:t>
      </w:r>
      <w:r w:rsidR="00D90B9E" w:rsidRPr="00C10722">
        <w:t>ation (EU) No 2017/2100</w:t>
      </w:r>
      <w:r w:rsidR="00E50623" w:rsidRPr="00C10722">
        <w:rPr>
          <w:rStyle w:val="FootnoteReference"/>
        </w:rPr>
        <w:footnoteReference w:id="13"/>
      </w:r>
      <w:r w:rsidRPr="00C10722">
        <w:t xml:space="preserve">. </w:t>
      </w:r>
      <w:r w:rsidR="001A7FB4" w:rsidRPr="00C10722">
        <w:t>This implies that it has to be</w:t>
      </w:r>
      <w:r w:rsidR="003166BA" w:rsidRPr="00C10722">
        <w:t xml:space="preserve"> determined w</w:t>
      </w:r>
      <w:r w:rsidR="003518DD" w:rsidRPr="00C10722">
        <w:t xml:space="preserve">hether </w:t>
      </w:r>
      <w:r w:rsidR="001A7FB4" w:rsidRPr="00C10722">
        <w:t xml:space="preserve">a substance </w:t>
      </w:r>
      <w:r w:rsidR="003518DD" w:rsidRPr="00C10722">
        <w:t xml:space="preserve">should </w:t>
      </w:r>
      <w:r w:rsidR="004945B3" w:rsidRPr="00C10722">
        <w:t>be considered to have</w:t>
      </w:r>
      <w:r w:rsidR="001A7FB4" w:rsidRPr="00C10722">
        <w:t xml:space="preserve"> ED properties or</w:t>
      </w:r>
      <w:r w:rsidR="004945B3" w:rsidRPr="00C10722">
        <w:t xml:space="preserve"> not</w:t>
      </w:r>
      <w:r w:rsidR="002D5FB6" w:rsidRPr="00C10722">
        <w:rPr>
          <w:rStyle w:val="FootnoteReference"/>
        </w:rPr>
        <w:footnoteReference w:id="14"/>
      </w:r>
      <w:r w:rsidR="002D5FB6" w:rsidRPr="00C10722">
        <w:t xml:space="preserve"> </w:t>
      </w:r>
      <w:r w:rsidR="00AD31EE" w:rsidRPr="00C10722">
        <w:t xml:space="preserve">according to the scientific criteria set out in </w:t>
      </w:r>
      <w:r w:rsidR="001243E3" w:rsidRPr="00C10722">
        <w:t>Regulation (EU) 2017/2100</w:t>
      </w:r>
      <w:r w:rsidR="001A7FB4" w:rsidRPr="00C10722">
        <w:t>.</w:t>
      </w:r>
      <w:r w:rsidR="002D5FB6" w:rsidRPr="00C10722">
        <w:t xml:space="preserve"> </w:t>
      </w:r>
      <w:r w:rsidR="00AD31EE" w:rsidRPr="00C10722">
        <w:t xml:space="preserve">ECHA and EFSA are developing a guidance document </w:t>
      </w:r>
      <w:r w:rsidR="004D45C4" w:rsidRPr="00C10722">
        <w:t xml:space="preserve">for the </w:t>
      </w:r>
      <w:proofErr w:type="spellStart"/>
      <w:r w:rsidR="004D45C4" w:rsidRPr="00C10722">
        <w:t>implemention</w:t>
      </w:r>
      <w:proofErr w:type="spellEnd"/>
      <w:r w:rsidR="004D45C4" w:rsidRPr="00C10722">
        <w:t xml:space="preserve"> of</w:t>
      </w:r>
      <w:r w:rsidR="00AD31EE" w:rsidRPr="00C10722">
        <w:t xml:space="preserve"> these criteria. </w:t>
      </w:r>
      <w:r w:rsidR="001A7FB4" w:rsidRPr="00C10722">
        <w:t>Taking into account this context, t</w:t>
      </w:r>
      <w:r w:rsidR="00886BE9" w:rsidRPr="00C10722">
        <w:t xml:space="preserve">he </w:t>
      </w:r>
      <w:r w:rsidR="006A50B2" w:rsidRPr="00C10722">
        <w:rPr>
          <w:szCs w:val="24"/>
        </w:rPr>
        <w:t xml:space="preserve">BPC </w:t>
      </w:r>
      <w:r w:rsidR="001243E3" w:rsidRPr="00C10722">
        <w:rPr>
          <w:szCs w:val="24"/>
        </w:rPr>
        <w:t xml:space="preserve">should conclude </w:t>
      </w:r>
      <w:r w:rsidR="001A7FB4" w:rsidRPr="00C10722">
        <w:rPr>
          <w:szCs w:val="24"/>
        </w:rPr>
        <w:t>in the opinion</w:t>
      </w:r>
      <w:r w:rsidR="00B559F6" w:rsidRPr="00C10722">
        <w:rPr>
          <w:szCs w:val="24"/>
        </w:rPr>
        <w:t xml:space="preserve">, </w:t>
      </w:r>
      <w:r w:rsidR="006A50B2" w:rsidRPr="00C10722">
        <w:rPr>
          <w:szCs w:val="24"/>
        </w:rPr>
        <w:t xml:space="preserve"> on the basis of the information </w:t>
      </w:r>
      <w:r w:rsidR="00562B47" w:rsidRPr="00C10722">
        <w:rPr>
          <w:szCs w:val="24"/>
        </w:rPr>
        <w:t>available</w:t>
      </w:r>
      <w:r w:rsidR="00562B47">
        <w:rPr>
          <w:szCs w:val="24"/>
        </w:rPr>
        <w:t xml:space="preserve"> </w:t>
      </w:r>
      <w:r w:rsidR="006A50B2" w:rsidRPr="00112452">
        <w:rPr>
          <w:szCs w:val="24"/>
        </w:rPr>
        <w:t xml:space="preserve">to determine whether a substance has ED properties, </w:t>
      </w:r>
      <w:r w:rsidR="001243E3">
        <w:rPr>
          <w:szCs w:val="24"/>
          <w:u w:val="single"/>
        </w:rPr>
        <w:t>whether</w:t>
      </w:r>
      <w:r w:rsidR="001243E3" w:rsidRPr="00C10722">
        <w:rPr>
          <w:u w:val="single"/>
        </w:rPr>
        <w:t xml:space="preserve"> </w:t>
      </w:r>
      <w:r w:rsidR="001A7FB4" w:rsidRPr="00C10722">
        <w:rPr>
          <w:u w:val="single"/>
        </w:rPr>
        <w:t xml:space="preserve">the substance </w:t>
      </w:r>
      <w:r w:rsidR="001243E3">
        <w:rPr>
          <w:szCs w:val="24"/>
          <w:u w:val="single"/>
        </w:rPr>
        <w:t xml:space="preserve">should </w:t>
      </w:r>
      <w:r w:rsidR="001A7FB4">
        <w:rPr>
          <w:szCs w:val="24"/>
          <w:u w:val="single"/>
        </w:rPr>
        <w:t>be considered to</w:t>
      </w:r>
      <w:r w:rsidR="001A7FB4" w:rsidRPr="00C10722">
        <w:rPr>
          <w:u w:val="single"/>
        </w:rPr>
        <w:t xml:space="preserve"> have </w:t>
      </w:r>
      <w:r w:rsidR="001A7FB4">
        <w:rPr>
          <w:szCs w:val="24"/>
          <w:u w:val="single"/>
        </w:rPr>
        <w:t xml:space="preserve"> </w:t>
      </w:r>
      <w:r w:rsidR="001A7FB4" w:rsidRPr="00C10722">
        <w:rPr>
          <w:u w:val="single"/>
        </w:rPr>
        <w:t xml:space="preserve">ED properties or </w:t>
      </w:r>
      <w:r w:rsidR="001A7FB4">
        <w:rPr>
          <w:szCs w:val="24"/>
          <w:u w:val="single"/>
        </w:rPr>
        <w:t>not to have ED properties</w:t>
      </w:r>
      <w:r w:rsidR="006A50B2" w:rsidRPr="00112452">
        <w:rPr>
          <w:szCs w:val="24"/>
          <w:u w:val="single"/>
        </w:rPr>
        <w:t>.</w:t>
      </w:r>
    </w:p>
    <w:p w14:paraId="3F520E77" w14:textId="40FC9051" w:rsidR="00847D94" w:rsidRDefault="003233E4" w:rsidP="00F753D2">
      <w:pPr>
        <w:pStyle w:val="ListNumber"/>
        <w:spacing w:after="120"/>
      </w:pPr>
      <w:r>
        <w:t xml:space="preserve"> </w:t>
      </w:r>
      <w:r w:rsidR="00C87B17">
        <w:t xml:space="preserve">In accordance with </w:t>
      </w:r>
      <w:r w:rsidR="00C64A44">
        <w:t>Article 90(2)</w:t>
      </w:r>
      <w:r w:rsidR="00E93A3F">
        <w:t xml:space="preserve"> of the BPR</w:t>
      </w:r>
      <w:r w:rsidR="00C64A44">
        <w:t>, t</w:t>
      </w:r>
      <w:r w:rsidR="001233A1" w:rsidRPr="003C4176">
        <w:t>he</w:t>
      </w:r>
      <w:r w:rsidR="00C64A44">
        <w:t xml:space="preserve"> applicant </w:t>
      </w:r>
      <w:r w:rsidR="00254620">
        <w:t>must</w:t>
      </w:r>
      <w:r w:rsidR="00C64A44">
        <w:t xml:space="preserve"> be given the oppor</w:t>
      </w:r>
      <w:r w:rsidR="00F91DF7">
        <w:t>tunity</w:t>
      </w:r>
      <w:r w:rsidR="00C64A44">
        <w:t xml:space="preserve"> to submit additional information</w:t>
      </w:r>
      <w:r w:rsidR="00B72D80">
        <w:t xml:space="preserve">. </w:t>
      </w:r>
      <w:r w:rsidR="00736994">
        <w:t>Furthermore</w:t>
      </w:r>
      <w:r w:rsidR="00B72D80">
        <w:t>, as the applications covered by this section are subject to the BPR rules,</w:t>
      </w:r>
      <w:r w:rsidR="00C64A44">
        <w:t xml:space="preserve"> the</w:t>
      </w:r>
      <w:r w:rsidR="001233A1">
        <w:t xml:space="preserve"> </w:t>
      </w:r>
      <w:proofErr w:type="spellStart"/>
      <w:r w:rsidR="001233A1">
        <w:t>eCA</w:t>
      </w:r>
      <w:proofErr w:type="spellEnd"/>
      <w:r w:rsidR="001233A1">
        <w:t xml:space="preserve"> can require additional information</w:t>
      </w:r>
      <w:r w:rsidR="001C5D68">
        <w:rPr>
          <w:rStyle w:val="FootnoteReference"/>
        </w:rPr>
        <w:footnoteReference w:id="15"/>
      </w:r>
      <w:r w:rsidR="001233A1">
        <w:t xml:space="preserve"> in order to determine whether a</w:t>
      </w:r>
      <w:r w:rsidR="00447E56">
        <w:t>n active</w:t>
      </w:r>
      <w:r w:rsidR="001233A1">
        <w:t xml:space="preserve"> substance has </w:t>
      </w:r>
      <w:r w:rsidR="00254620">
        <w:t>ED</w:t>
      </w:r>
      <w:r w:rsidR="001233A1">
        <w:t xml:space="preserve"> properties. </w:t>
      </w:r>
      <w:r w:rsidR="00C761AC">
        <w:t xml:space="preserve">This </w:t>
      </w:r>
      <w:r w:rsidR="00C761AC">
        <w:lastRenderedPageBreak/>
        <w:t xml:space="preserve">can occur both during the evaluation </w:t>
      </w:r>
      <w:r w:rsidR="00254620">
        <w:t xml:space="preserve">phase </w:t>
      </w:r>
      <w:r w:rsidR="00C761AC">
        <w:t xml:space="preserve">by the </w:t>
      </w:r>
      <w:proofErr w:type="spellStart"/>
      <w:r w:rsidR="00C761AC">
        <w:t>eCA</w:t>
      </w:r>
      <w:proofErr w:type="spellEnd"/>
      <w:r w:rsidR="00C761AC">
        <w:t xml:space="preserve"> and during the peer review process in the </w:t>
      </w:r>
      <w:r w:rsidR="00C10DE5">
        <w:t>BPC</w:t>
      </w:r>
      <w:r w:rsidR="00C761AC">
        <w:t xml:space="preserve">. </w:t>
      </w:r>
      <w:r w:rsidR="00447E56">
        <w:t xml:space="preserve">The applicant </w:t>
      </w:r>
      <w:r w:rsidR="00160560">
        <w:t xml:space="preserve">should be provided </w:t>
      </w:r>
      <w:r w:rsidR="00447E56">
        <w:t xml:space="preserve">with a reasonable period </w:t>
      </w:r>
      <w:r w:rsidR="00254620">
        <w:t xml:space="preserve">in which </w:t>
      </w:r>
      <w:r w:rsidR="00447E56">
        <w:t>to submit the information</w:t>
      </w:r>
      <w:r w:rsidR="00C64A44">
        <w:t xml:space="preserve">, but no longer than necessary, as </w:t>
      </w:r>
      <w:r w:rsidR="0005149C">
        <w:t xml:space="preserve">it </w:t>
      </w:r>
      <w:r w:rsidR="00254620">
        <w:t>is the case</w:t>
      </w:r>
      <w:r w:rsidR="00F91DF7">
        <w:t xml:space="preserve"> </w:t>
      </w:r>
      <w:r w:rsidR="00C64A44">
        <w:t xml:space="preserve">for any other type </w:t>
      </w:r>
      <w:r w:rsidR="00F91DF7">
        <w:t xml:space="preserve">of </w:t>
      </w:r>
      <w:r w:rsidR="00C64A44">
        <w:t>information requ</w:t>
      </w:r>
      <w:r w:rsidR="00A227A9">
        <w:t>ired</w:t>
      </w:r>
      <w:r w:rsidR="00C64A44">
        <w:t xml:space="preserve"> during the examination of a substance</w:t>
      </w:r>
      <w:r w:rsidR="00447E56">
        <w:t>.</w:t>
      </w:r>
      <w:r w:rsidR="00E81327">
        <w:t xml:space="preserve"> </w:t>
      </w:r>
      <w:r w:rsidR="00C94E6C">
        <w:t xml:space="preserve">The applicant should be provided, where it is considered justified by the </w:t>
      </w:r>
      <w:proofErr w:type="spellStart"/>
      <w:r w:rsidR="00C94E6C">
        <w:t>eCA</w:t>
      </w:r>
      <w:proofErr w:type="spellEnd"/>
      <w:r w:rsidR="00C772EC">
        <w:t xml:space="preserve"> to supplement the first requirement for information</w:t>
      </w:r>
      <w:r w:rsidR="00C94E6C">
        <w:t xml:space="preserve">, another opportunity to submit information in order to </w:t>
      </w:r>
      <w:r w:rsidR="00C772EC">
        <w:t xml:space="preserve">better </w:t>
      </w:r>
      <w:r w:rsidR="00C94E6C">
        <w:t xml:space="preserve">determine whether an active substance has ED properties. </w:t>
      </w:r>
      <w:r w:rsidR="000B6E26">
        <w:t>When needed</w:t>
      </w:r>
      <w:r w:rsidR="000B3B9D">
        <w:t>,</w:t>
      </w:r>
      <w:r w:rsidR="000B6E26">
        <w:t xml:space="preserve"> and at the discretion of the evaluating CA, and taking into account the joint EC</w:t>
      </w:r>
      <w:r w:rsidR="000B3B9D">
        <w:t>H</w:t>
      </w:r>
      <w:r w:rsidR="000B6E26">
        <w:t xml:space="preserve">A and EFSA </w:t>
      </w:r>
      <w:r w:rsidR="000B6E26" w:rsidRPr="00C10722">
        <w:t xml:space="preserve">Guidance (see </w:t>
      </w:r>
      <w:r w:rsidR="001D1413" w:rsidRPr="00C10722">
        <w:t>paragraph 12</w:t>
      </w:r>
      <w:r w:rsidR="000B6E26" w:rsidRPr="00C10722">
        <w:t>), the</w:t>
      </w:r>
      <w:r w:rsidR="000B6E26">
        <w:t xml:space="preserve"> evaluation may be suspended for more than 180 days</w:t>
      </w:r>
      <w:r w:rsidR="00C94E6C">
        <w:t xml:space="preserve"> in total</w:t>
      </w:r>
      <w:r w:rsidR="00112452">
        <w:t>,</w:t>
      </w:r>
      <w:r w:rsidR="000B6E26">
        <w:t xml:space="preserve"> due to the nature of the information or because the circumstances could be considered exceptional</w:t>
      </w:r>
      <w:r w:rsidR="000B6E26">
        <w:rPr>
          <w:rStyle w:val="FootnoteReference"/>
        </w:rPr>
        <w:footnoteReference w:id="16"/>
      </w:r>
      <w:r w:rsidR="000B6E26">
        <w:t xml:space="preserve">. </w:t>
      </w:r>
      <w:r w:rsidR="00302023">
        <w:t>Following the f</w:t>
      </w:r>
      <w:r w:rsidR="00E81327">
        <w:t xml:space="preserve">ailure to submit the required information </w:t>
      </w:r>
      <w:r w:rsidR="00AD5832">
        <w:t xml:space="preserve">within the required timeframe in </w:t>
      </w:r>
      <w:r w:rsidR="0021354D">
        <w:t xml:space="preserve">the </w:t>
      </w:r>
      <w:r w:rsidR="00AD5832">
        <w:t>absence of valid justifications</w:t>
      </w:r>
      <w:r w:rsidR="00302023">
        <w:t xml:space="preserve">, </w:t>
      </w:r>
      <w:r w:rsidR="00AD5832">
        <w:t xml:space="preserve">the BPC </w:t>
      </w:r>
      <w:r w:rsidR="00302023">
        <w:t xml:space="preserve">may </w:t>
      </w:r>
      <w:r w:rsidR="00AD5832">
        <w:t>propos</w:t>
      </w:r>
      <w:r w:rsidR="00302023">
        <w:t>e</w:t>
      </w:r>
      <w:r w:rsidR="00AD5832">
        <w:t xml:space="preserve"> a non-approval considering that the conditions set out under Article 4(1) of the BPR would not be met, in particular because data were not provided in accordanc</w:t>
      </w:r>
      <w:r w:rsidR="000B3B9D">
        <w:t>e with Article 6(2) of the BPR</w:t>
      </w:r>
      <w:r w:rsidR="004530E0">
        <w:t xml:space="preserve">. </w:t>
      </w:r>
    </w:p>
    <w:p w14:paraId="4A01B93B" w14:textId="77777777" w:rsidR="00886BE9" w:rsidRDefault="00886BE9" w:rsidP="00847D94">
      <w:pPr>
        <w:pStyle w:val="ListNumber"/>
        <w:numPr>
          <w:ilvl w:val="0"/>
          <w:numId w:val="0"/>
        </w:numPr>
        <w:autoSpaceDE w:val="0"/>
        <w:autoSpaceDN w:val="0"/>
        <w:adjustRightInd w:val="0"/>
        <w:spacing w:after="0"/>
        <w:ind w:left="709" w:hanging="709"/>
        <w:jc w:val="left"/>
      </w:pPr>
    </w:p>
    <w:p w14:paraId="3F2BE9A5" w14:textId="77777777" w:rsidR="00847D94" w:rsidRDefault="00847D94" w:rsidP="00847D94">
      <w:pPr>
        <w:pStyle w:val="ListNumber"/>
      </w:pPr>
      <w:r>
        <w:t xml:space="preserve">ECHA and EFSA are developing scientific guidance to implement the scientific criteria. </w:t>
      </w:r>
      <w:r w:rsidRPr="00847D94">
        <w:rPr>
          <w:lang w:eastAsia="en-GB"/>
        </w:rPr>
        <w:t>The guidance should provide guidance for applicants and risk assessors of the competent regulatory authorities on how to carry out the ED hazard assessment in line with the stipulations set out in the ED criteria, i.e. how to gather, evaluate and consider all relevant information for the assessment, and how to apply a weight of evidence (</w:t>
      </w:r>
      <w:proofErr w:type="spellStart"/>
      <w:r w:rsidRPr="00847D94">
        <w:rPr>
          <w:lang w:eastAsia="en-GB"/>
        </w:rPr>
        <w:t>WoE</w:t>
      </w:r>
      <w:proofErr w:type="spellEnd"/>
      <w:r w:rsidRPr="00847D94">
        <w:rPr>
          <w:lang w:eastAsia="en-GB"/>
        </w:rPr>
        <w:t xml:space="preserve">) approach in order to establish whether the ED criteria are fulfilled. The </w:t>
      </w:r>
      <w:proofErr w:type="spellStart"/>
      <w:r w:rsidRPr="00847D94">
        <w:rPr>
          <w:lang w:eastAsia="en-GB"/>
        </w:rPr>
        <w:t>eCA</w:t>
      </w:r>
      <w:proofErr w:type="spellEnd"/>
      <w:r w:rsidRPr="00847D94">
        <w:rPr>
          <w:lang w:eastAsia="en-GB"/>
        </w:rPr>
        <w:t xml:space="preserve"> should utilise this guidance in assessing whether the active substance may have ED properties.</w:t>
      </w:r>
    </w:p>
    <w:p w14:paraId="12AF3749" w14:textId="77777777" w:rsidR="001233A1" w:rsidRDefault="001233A1" w:rsidP="0018232C">
      <w:pPr>
        <w:pStyle w:val="ListNumber"/>
        <w:tabs>
          <w:tab w:val="left" w:pos="930"/>
        </w:tabs>
      </w:pPr>
      <w:r>
        <w:t xml:space="preserve">Where considered appropriate, the </w:t>
      </w:r>
      <w:r w:rsidR="00114B4B">
        <w:t xml:space="preserve">evaluating competent authority may ask </w:t>
      </w:r>
      <w:r w:rsidR="000359E1">
        <w:t xml:space="preserve">advice of the </w:t>
      </w:r>
      <w:r w:rsidR="00254620">
        <w:t xml:space="preserve">ECHA's </w:t>
      </w:r>
      <w:r>
        <w:t>E</w:t>
      </w:r>
      <w:r w:rsidR="00447E56">
        <w:t>ndocrine Disruptor Expert Group</w:t>
      </w:r>
      <w:r w:rsidR="00254620">
        <w:t xml:space="preserve"> </w:t>
      </w:r>
      <w:r w:rsidR="00447E56">
        <w:t xml:space="preserve">on the </w:t>
      </w:r>
      <w:r w:rsidR="00254620">
        <w:t>ED</w:t>
      </w:r>
      <w:r w:rsidR="00447E56">
        <w:t xml:space="preserve"> properties of the </w:t>
      </w:r>
      <w:r w:rsidR="00BC74D8">
        <w:t xml:space="preserve">active </w:t>
      </w:r>
      <w:r w:rsidR="00447E56">
        <w:t>substance</w:t>
      </w:r>
      <w:r w:rsidR="00615F68">
        <w:rPr>
          <w:rStyle w:val="FootnoteReference"/>
        </w:rPr>
        <w:footnoteReference w:id="17"/>
      </w:r>
      <w:r w:rsidR="00447E56">
        <w:t xml:space="preserve">. </w:t>
      </w:r>
      <w:r w:rsidR="00372BB4">
        <w:t xml:space="preserve">The ED Expert Group provides non-binding scientific advice to the evaluating CA. </w:t>
      </w:r>
      <w:r w:rsidR="00447E56">
        <w:t xml:space="preserve">This can occur both during the phase of evaluation by the </w:t>
      </w:r>
      <w:proofErr w:type="spellStart"/>
      <w:r w:rsidR="00447E56">
        <w:t>eCA</w:t>
      </w:r>
      <w:proofErr w:type="spellEnd"/>
      <w:r w:rsidR="00447E56">
        <w:t xml:space="preserve"> and during the peer review process in the </w:t>
      </w:r>
      <w:r w:rsidR="008B6D6C">
        <w:t>BPC</w:t>
      </w:r>
      <w:r w:rsidR="00447E56">
        <w:t xml:space="preserve">. </w:t>
      </w:r>
      <w:r w:rsidR="00372BB4">
        <w:t>It is stressed that the evaluating CA remains responsible</w:t>
      </w:r>
      <w:r w:rsidR="006C557B">
        <w:t xml:space="preserve"> to decide whether there is a need for additional data and for </w:t>
      </w:r>
      <w:r w:rsidR="00372BB4">
        <w:t xml:space="preserve">the conclusion in its </w:t>
      </w:r>
      <w:r w:rsidR="003B7974">
        <w:t xml:space="preserve">assessment </w:t>
      </w:r>
      <w:r w:rsidR="00372BB4">
        <w:t xml:space="preserve">report </w:t>
      </w:r>
      <w:r w:rsidR="003B7974">
        <w:t xml:space="preserve">that the </w:t>
      </w:r>
      <w:proofErr w:type="spellStart"/>
      <w:r w:rsidR="003B7974">
        <w:t>eCA</w:t>
      </w:r>
      <w:proofErr w:type="spellEnd"/>
      <w:r w:rsidR="003B7974">
        <w:t xml:space="preserve"> submits to ECHA </w:t>
      </w:r>
      <w:r w:rsidR="006C557B">
        <w:t xml:space="preserve">on the </w:t>
      </w:r>
      <w:r w:rsidR="00372BB4">
        <w:t xml:space="preserve">ED properties </w:t>
      </w:r>
      <w:r w:rsidR="006C557B">
        <w:t>of the active substance.</w:t>
      </w:r>
      <w:r w:rsidR="00372BB4">
        <w:t xml:space="preserve"> </w:t>
      </w:r>
    </w:p>
    <w:p w14:paraId="66E8A4EA" w14:textId="12311F97" w:rsidR="004D7673" w:rsidRDefault="004D7673" w:rsidP="004D7673">
      <w:pPr>
        <w:pStyle w:val="ListNumber"/>
      </w:pPr>
      <w:r>
        <w:t xml:space="preserve">It is also important to note that, in accordance with Article 5(1)(d) of the BPR, active substances </w:t>
      </w:r>
      <w:r w:rsidR="00DC49D9">
        <w:t>shall not be approved</w:t>
      </w:r>
      <w:r w:rsidR="00114B4B">
        <w:t xml:space="preserve"> </w:t>
      </w:r>
      <w:r>
        <w:t xml:space="preserve">when they are considered as having </w:t>
      </w:r>
      <w:r w:rsidR="00FC4229">
        <w:t xml:space="preserve">ED </w:t>
      </w:r>
      <w:r w:rsidRPr="004D7673">
        <w:t>properties</w:t>
      </w:r>
      <w:r>
        <w:t xml:space="preserve"> </w:t>
      </w:r>
      <w:r w:rsidRPr="004D7673">
        <w:t>that may cause adverse effects in humans</w:t>
      </w:r>
      <w:r w:rsidR="00A227A9">
        <w:t xml:space="preserve"> </w:t>
      </w:r>
      <w:r w:rsidRPr="004D7673">
        <w:t>or which are identified in accordance with Articles 57(f)</w:t>
      </w:r>
      <w:r w:rsidR="002C1032">
        <w:rPr>
          <w:rStyle w:val="FootnoteReference"/>
        </w:rPr>
        <w:footnoteReference w:id="18"/>
      </w:r>
      <w:r w:rsidRPr="004D7673">
        <w:t xml:space="preserve"> and 59(1) of Regulation (EC) No 1907/2006 as having </w:t>
      </w:r>
      <w:r w:rsidR="00FC4229">
        <w:t>ED</w:t>
      </w:r>
      <w:r w:rsidRPr="004D7673">
        <w:t xml:space="preserve"> properties</w:t>
      </w:r>
      <w:r>
        <w:t xml:space="preserve">. </w:t>
      </w:r>
      <w:r w:rsidR="00736994">
        <w:t xml:space="preserve">Therefore, active substances are subject to non-approval identified as having ED properties </w:t>
      </w:r>
      <w:r w:rsidR="00AC021A">
        <w:t>on the basis of</w:t>
      </w:r>
      <w:r>
        <w:t xml:space="preserve"> section A of the Annex </w:t>
      </w:r>
      <w:r w:rsidR="00AC021A">
        <w:t>to</w:t>
      </w:r>
      <w:r>
        <w:t xml:space="preserve"> the </w:t>
      </w:r>
      <w:r w:rsidR="00D90B9E">
        <w:t xml:space="preserve">Regulation (EU) No 2017/2100 </w:t>
      </w:r>
      <w:r w:rsidR="00F91DF7">
        <w:t xml:space="preserve"> or</w:t>
      </w:r>
      <w:r w:rsidR="00F91DF7" w:rsidRPr="004D7673">
        <w:t xml:space="preserve"> </w:t>
      </w:r>
      <w:r w:rsidR="00A227A9">
        <w:t xml:space="preserve">identified as </w:t>
      </w:r>
      <w:r w:rsidR="00A227A9">
        <w:lastRenderedPageBreak/>
        <w:t xml:space="preserve">having ED properties </w:t>
      </w:r>
      <w:r w:rsidR="00F91DF7" w:rsidRPr="004D7673">
        <w:t>in accordance with Articles 57(f) and 59(1) of Regulation (EC) No 1907/2006</w:t>
      </w:r>
      <w:r w:rsidR="00736994">
        <w:t>.</w:t>
      </w:r>
      <w:r>
        <w:t xml:space="preserve"> If an active substance is considered </w:t>
      </w:r>
      <w:r w:rsidR="00FC4229">
        <w:t xml:space="preserve">to </w:t>
      </w:r>
      <w:r w:rsidR="00825E0C">
        <w:t>hav</w:t>
      </w:r>
      <w:r w:rsidR="00FC4229">
        <w:t>e ED</w:t>
      </w:r>
      <w:r>
        <w:t xml:space="preserve"> properties based </w:t>
      </w:r>
      <w:r w:rsidR="00FC4229">
        <w:t xml:space="preserve">only </w:t>
      </w:r>
      <w:r>
        <w:t>on section B</w:t>
      </w:r>
      <w:r w:rsidR="00C87B17">
        <w:t xml:space="preserve"> of the Annex to the </w:t>
      </w:r>
      <w:r w:rsidR="00D90B9E">
        <w:t xml:space="preserve">Regulation (EU) No 2017/2100 </w:t>
      </w:r>
      <w:r w:rsidR="009D1FFB" w:rsidRPr="009D1FFB">
        <w:rPr>
          <w:szCs w:val="24"/>
        </w:rPr>
        <w:t xml:space="preserve">or </w:t>
      </w:r>
      <w:r w:rsidR="009D1FFB" w:rsidRPr="001C7495">
        <w:rPr>
          <w:szCs w:val="24"/>
        </w:rPr>
        <w:t>having</w:t>
      </w:r>
      <w:r w:rsidR="009D1FFB">
        <w:rPr>
          <w:szCs w:val="24"/>
        </w:rPr>
        <w:t xml:space="preserve"> an </w:t>
      </w:r>
      <w:r w:rsidR="009D1FFB" w:rsidRPr="001C7495">
        <w:rPr>
          <w:szCs w:val="24"/>
        </w:rPr>
        <w:t>intended biocidal mode of action that consists of controlling target organisms via their endocrine system(s)</w:t>
      </w:r>
      <w:r w:rsidRPr="009D1FFB">
        <w:rPr>
          <w:szCs w:val="24"/>
        </w:rPr>
        <w:t>,</w:t>
      </w:r>
      <w:r>
        <w:t xml:space="preserve"> the active substance is not subject to </w:t>
      </w:r>
      <w:r w:rsidR="00A227A9">
        <w:t>non-approval</w:t>
      </w:r>
      <w:r>
        <w:t xml:space="preserve">, but it </w:t>
      </w:r>
      <w:r w:rsidR="00FC4229">
        <w:t>must</w:t>
      </w:r>
      <w:r>
        <w:t xml:space="preserve"> be considered a candidate for substitution under </w:t>
      </w:r>
      <w:r w:rsidR="00FC4229">
        <w:t>A</w:t>
      </w:r>
      <w:r>
        <w:t>rticle 10(1)(e)</w:t>
      </w:r>
      <w:r w:rsidR="00AC021A">
        <w:t xml:space="preserve"> of the BPR</w:t>
      </w:r>
      <w:r>
        <w:t xml:space="preserve">. </w:t>
      </w:r>
      <w:r w:rsidR="00487234">
        <w:t>For active substances considered a candidate for substitution a shorter approval period applies</w:t>
      </w:r>
      <w:r w:rsidR="006222D5">
        <w:t xml:space="preserve"> and </w:t>
      </w:r>
      <w:r w:rsidR="007B7865">
        <w:t>the</w:t>
      </w:r>
      <w:r w:rsidR="006222D5">
        <w:t xml:space="preserve"> biocidal product</w:t>
      </w:r>
      <w:r w:rsidR="007B7865">
        <w:t>s</w:t>
      </w:r>
      <w:r w:rsidR="006222D5">
        <w:t xml:space="preserve"> containing these active substances are considered to have ED properties and the relevant regulatory consequences will apply (for example,</w:t>
      </w:r>
      <w:r w:rsidR="00487234">
        <w:t xml:space="preserve"> a comparative assessment has to be performed as part of the evaluation of an application for authorisation and this may lead to the decision not to authorise or to restrict the use</w:t>
      </w:r>
      <w:r w:rsidR="006222D5">
        <w:t>)</w:t>
      </w:r>
      <w:r w:rsidR="00487234">
        <w:t>.</w:t>
      </w:r>
      <w:r w:rsidR="006222D5">
        <w:t xml:space="preserve"> </w:t>
      </w:r>
      <w:r w:rsidR="00487234">
        <w:t xml:space="preserve"> </w:t>
      </w:r>
    </w:p>
    <w:p w14:paraId="060B8418" w14:textId="019599E2" w:rsidR="000359E1" w:rsidRDefault="005D5A7F" w:rsidP="000359E1">
      <w:pPr>
        <w:pStyle w:val="ListNumber"/>
      </w:pPr>
      <w:r>
        <w:t xml:space="preserve">The </w:t>
      </w:r>
      <w:r w:rsidR="00D90B9E">
        <w:t xml:space="preserve">Regulation (EU) No 2017/2100 </w:t>
      </w:r>
      <w:r w:rsidR="005539A5">
        <w:t xml:space="preserve">setting </w:t>
      </w:r>
      <w:r w:rsidR="00FC4229">
        <w:t xml:space="preserve">out </w:t>
      </w:r>
      <w:r w:rsidR="005539A5">
        <w:t xml:space="preserve">the ED criteria </w:t>
      </w:r>
      <w:r>
        <w:t xml:space="preserve">states that </w:t>
      </w:r>
      <w:r w:rsidR="000359E1">
        <w:t>t</w:t>
      </w:r>
      <w:r>
        <w:t xml:space="preserve">he criteria </w:t>
      </w:r>
      <w:r w:rsidR="00FC4229">
        <w:t>must</w:t>
      </w:r>
      <w:r w:rsidRPr="009468FF">
        <w:t xml:space="preserve"> apply </w:t>
      </w:r>
      <w:r w:rsidR="00847D94">
        <w:t>as of</w:t>
      </w:r>
      <w:r w:rsidR="00AE304F">
        <w:t xml:space="preserve"> 7th of June 2018</w:t>
      </w:r>
      <w:r>
        <w:t xml:space="preserve">, except for </w:t>
      </w:r>
      <w:r w:rsidRPr="0023126C">
        <w:t xml:space="preserve">procedures </w:t>
      </w:r>
      <w:r w:rsidR="00A44B27">
        <w:t xml:space="preserve">for approval/renewal of active substances </w:t>
      </w:r>
      <w:r w:rsidR="00FC4229">
        <w:t>where</w:t>
      </w:r>
      <w:r w:rsidR="00A44B27">
        <w:t xml:space="preserve"> </w:t>
      </w:r>
      <w:r w:rsidRPr="0023126C">
        <w:t xml:space="preserve">the </w:t>
      </w:r>
      <w:r w:rsidR="000359E1">
        <w:t xml:space="preserve">Standing Committee on Biocidal Products </w:t>
      </w:r>
      <w:r w:rsidR="005539A5">
        <w:t xml:space="preserve">has already </w:t>
      </w:r>
      <w:r w:rsidR="00487234">
        <w:t>provided its opinion</w:t>
      </w:r>
      <w:r w:rsidRPr="0023126C">
        <w:t xml:space="preserve"> on the </w:t>
      </w:r>
      <w:r w:rsidR="00372BB4">
        <w:t xml:space="preserve">draft </w:t>
      </w:r>
      <w:r w:rsidR="000359E1">
        <w:t xml:space="preserve">decision (but </w:t>
      </w:r>
      <w:r w:rsidR="00FC4229">
        <w:t>where</w:t>
      </w:r>
      <w:r w:rsidR="000359E1">
        <w:t xml:space="preserve"> </w:t>
      </w:r>
      <w:r w:rsidR="005B0C94">
        <w:t>the</w:t>
      </w:r>
      <w:r w:rsidR="000359E1">
        <w:t xml:space="preserve"> Commission </w:t>
      </w:r>
      <w:r w:rsidR="005B0C94">
        <w:t>has not yet made the formal adoption</w:t>
      </w:r>
      <w:r w:rsidR="000359E1">
        <w:t>)</w:t>
      </w:r>
      <w:r>
        <w:t xml:space="preserve">. </w:t>
      </w:r>
      <w:r w:rsidR="000359E1">
        <w:t>In</w:t>
      </w:r>
      <w:r w:rsidR="005539A5">
        <w:t xml:space="preserve"> such cases</w:t>
      </w:r>
      <w:r w:rsidR="000359E1">
        <w:t>, after the Standing Committee</w:t>
      </w:r>
      <w:r w:rsidR="005539A5">
        <w:t xml:space="preserve"> has </w:t>
      </w:r>
      <w:r w:rsidR="00487234">
        <w:t xml:space="preserve">provided its </w:t>
      </w:r>
      <w:r w:rsidR="009A1563">
        <w:t>opinion</w:t>
      </w:r>
      <w:r w:rsidR="00E36109">
        <w:t>, the adoption process</w:t>
      </w:r>
      <w:r w:rsidR="000359E1">
        <w:t xml:space="preserve"> </w:t>
      </w:r>
      <w:r w:rsidR="00487234">
        <w:t xml:space="preserve">will </w:t>
      </w:r>
      <w:r w:rsidR="000359E1">
        <w:t>continue.</w:t>
      </w:r>
    </w:p>
    <w:p w14:paraId="02D75375" w14:textId="3BC72FE5" w:rsidR="00C168D0" w:rsidRDefault="005D5A7F" w:rsidP="007B7865">
      <w:pPr>
        <w:pStyle w:val="ListNumber"/>
        <w:spacing w:after="0"/>
      </w:pPr>
      <w:r>
        <w:t xml:space="preserve">The situation may occur that </w:t>
      </w:r>
      <w:r w:rsidR="00C168D0">
        <w:t>the</w:t>
      </w:r>
      <w:r w:rsidR="00D90B9E">
        <w:t xml:space="preserve"> Regulation (EU) No 2017/2100 </w:t>
      </w:r>
      <w:r w:rsidR="000359E1">
        <w:t xml:space="preserve"> setting </w:t>
      </w:r>
      <w:r w:rsidR="005B0C94">
        <w:t xml:space="preserve">the </w:t>
      </w:r>
      <w:r w:rsidR="00C168D0">
        <w:t xml:space="preserve">ED criteria </w:t>
      </w:r>
      <w:r w:rsidR="00615F68">
        <w:t>becomes applicable</w:t>
      </w:r>
      <w:r w:rsidR="000359E1">
        <w:t xml:space="preserve"> </w:t>
      </w:r>
      <w:r w:rsidR="00C168D0">
        <w:t xml:space="preserve">after </w:t>
      </w:r>
      <w:r w:rsidR="005B0C94">
        <w:t xml:space="preserve">the </w:t>
      </w:r>
      <w:r>
        <w:t xml:space="preserve">ECHA submitted to </w:t>
      </w:r>
      <w:r w:rsidR="00DE4E32">
        <w:t xml:space="preserve">the </w:t>
      </w:r>
      <w:r>
        <w:t xml:space="preserve">Commission </w:t>
      </w:r>
      <w:r w:rsidR="005B0C94">
        <w:t>its</w:t>
      </w:r>
      <w:r w:rsidR="000359E1">
        <w:t xml:space="preserve"> </w:t>
      </w:r>
      <w:r>
        <w:t>opinion</w:t>
      </w:r>
      <w:r w:rsidR="000359E1">
        <w:t>s</w:t>
      </w:r>
      <w:r>
        <w:t xml:space="preserve"> on the approval</w:t>
      </w:r>
      <w:r w:rsidR="00A44B27">
        <w:t>/renewal</w:t>
      </w:r>
      <w:r>
        <w:t xml:space="preserve"> of active substance</w:t>
      </w:r>
      <w:r w:rsidR="000359E1">
        <w:t>s, but before the Commission ha</w:t>
      </w:r>
      <w:r w:rsidR="00AC021A">
        <w:t>s</w:t>
      </w:r>
      <w:r w:rsidR="000359E1">
        <w:t xml:space="preserve"> </w:t>
      </w:r>
      <w:r w:rsidR="005B0C94">
        <w:t xml:space="preserve">had </w:t>
      </w:r>
      <w:r w:rsidR="000359E1">
        <w:t xml:space="preserve">the time to present a </w:t>
      </w:r>
      <w:r w:rsidR="00372BB4">
        <w:t>draft</w:t>
      </w:r>
      <w:r w:rsidR="000359E1">
        <w:t xml:space="preserve"> decision </w:t>
      </w:r>
      <w:r w:rsidR="004D7673">
        <w:t xml:space="preserve">for </w:t>
      </w:r>
      <w:r w:rsidR="005B0C94">
        <w:t xml:space="preserve">the </w:t>
      </w:r>
      <w:r w:rsidR="004D7673">
        <w:t xml:space="preserve">vote </w:t>
      </w:r>
      <w:r w:rsidR="005B0C94">
        <w:t>of</w:t>
      </w:r>
      <w:r w:rsidR="000359E1">
        <w:t xml:space="preserve"> the Standing Committee</w:t>
      </w:r>
      <w:r>
        <w:t xml:space="preserve">. </w:t>
      </w:r>
      <w:r w:rsidR="00C168D0">
        <w:t>In this specific situation</w:t>
      </w:r>
      <w:r w:rsidR="005B0C94">
        <w:t>,</w:t>
      </w:r>
      <w:r w:rsidR="00C168D0">
        <w:t xml:space="preserve"> the Commission will </w:t>
      </w:r>
      <w:r w:rsidR="00AB0542">
        <w:t xml:space="preserve">return the ECHA opinion </w:t>
      </w:r>
      <w:r w:rsidR="000359E1">
        <w:t>to ECHA</w:t>
      </w:r>
      <w:r w:rsidR="007B7865">
        <w:t>'</w:t>
      </w:r>
      <w:r w:rsidR="000359E1">
        <w:t xml:space="preserve">s </w:t>
      </w:r>
      <w:r w:rsidR="004D7673">
        <w:t>BPC</w:t>
      </w:r>
      <w:r w:rsidR="00C168D0">
        <w:t xml:space="preserve"> </w:t>
      </w:r>
      <w:r w:rsidR="00AB0542">
        <w:t>and ask</w:t>
      </w:r>
      <w:r w:rsidR="004E6501">
        <w:t xml:space="preserve"> ECHA</w:t>
      </w:r>
      <w:r w:rsidR="00AB0542">
        <w:t xml:space="preserve"> </w:t>
      </w:r>
      <w:r w:rsidR="00C168D0">
        <w:t xml:space="preserve">to </w:t>
      </w:r>
      <w:r w:rsidR="008F705E">
        <w:t xml:space="preserve">return the opinion to the </w:t>
      </w:r>
      <w:proofErr w:type="spellStart"/>
      <w:r w:rsidR="008F705E">
        <w:t>eCA</w:t>
      </w:r>
      <w:proofErr w:type="spellEnd"/>
      <w:r w:rsidR="00022B05">
        <w:t>, which should</w:t>
      </w:r>
      <w:r w:rsidR="008F705E">
        <w:t xml:space="preserve"> incorporate in its assessment </w:t>
      </w:r>
      <w:r w:rsidR="00C168D0">
        <w:t xml:space="preserve">whether the active substance </w:t>
      </w:r>
      <w:r w:rsidR="008F705E">
        <w:t xml:space="preserve">could be considered to have </w:t>
      </w:r>
      <w:r w:rsidR="005B0C94">
        <w:t>ED</w:t>
      </w:r>
      <w:r w:rsidR="00C168D0">
        <w:t xml:space="preserve"> properties</w:t>
      </w:r>
      <w:r w:rsidR="000359E1">
        <w:t xml:space="preserve"> according to the ED criteria</w:t>
      </w:r>
      <w:r w:rsidR="00FA27C7">
        <w:t xml:space="preserve"> in the </w:t>
      </w:r>
      <w:r w:rsidR="00D90B9E">
        <w:t xml:space="preserve">Regulation (EU) No 2017/2100 </w:t>
      </w:r>
      <w:r w:rsidR="00C168D0">
        <w:t xml:space="preserve">and, where appropriate, to amend </w:t>
      </w:r>
      <w:r w:rsidR="008F705E">
        <w:t>the BPC</w:t>
      </w:r>
      <w:r w:rsidR="00C168D0">
        <w:t xml:space="preserve"> opinion as originally submitted to the Commission.</w:t>
      </w:r>
      <w:r w:rsidR="00F2417C">
        <w:t xml:space="preserve"> In this situation </w:t>
      </w:r>
      <w:r w:rsidR="008F705E">
        <w:t xml:space="preserve">the </w:t>
      </w:r>
      <w:proofErr w:type="spellStart"/>
      <w:r w:rsidR="008F705E">
        <w:t>eCA</w:t>
      </w:r>
      <w:proofErr w:type="spellEnd"/>
      <w:r w:rsidR="008F705E">
        <w:t xml:space="preserve"> </w:t>
      </w:r>
      <w:r w:rsidR="00F2417C">
        <w:t>may need to require additional information o</w:t>
      </w:r>
      <w:r w:rsidR="00302023">
        <w:t>f</w:t>
      </w:r>
      <w:r w:rsidR="00F2417C">
        <w:t xml:space="preserve"> the applica</w:t>
      </w:r>
      <w:r w:rsidR="00302023">
        <w:t>nt</w:t>
      </w:r>
      <w:r w:rsidR="00F2417C">
        <w:rPr>
          <w:rStyle w:val="FootnoteReference"/>
        </w:rPr>
        <w:footnoteReference w:id="19"/>
      </w:r>
      <w:r w:rsidR="00F2417C">
        <w:t>.</w:t>
      </w:r>
      <w:r w:rsidR="00010B56">
        <w:t xml:space="preserve"> The Commission may decide not to return the </w:t>
      </w:r>
      <w:r w:rsidR="00302E09">
        <w:t xml:space="preserve">BPC </w:t>
      </w:r>
      <w:r w:rsidR="00010B56">
        <w:t xml:space="preserve">opinion </w:t>
      </w:r>
      <w:r w:rsidR="00020D8B">
        <w:t xml:space="preserve">to ECHA in the above described situation </w:t>
      </w:r>
      <w:r w:rsidR="00010B56">
        <w:t xml:space="preserve">if </w:t>
      </w:r>
      <w:r w:rsidR="00FA27C7">
        <w:t>the opinion</w:t>
      </w:r>
      <w:r w:rsidR="00A714BD">
        <w:t xml:space="preserve"> </w:t>
      </w:r>
      <w:r w:rsidR="00010B56">
        <w:t>proposes a non-approval of the active substance</w:t>
      </w:r>
      <w:r w:rsidR="00010B56">
        <w:rPr>
          <w:rStyle w:val="FootnoteReference"/>
        </w:rPr>
        <w:footnoteReference w:id="20"/>
      </w:r>
      <w:r w:rsidR="00010B56">
        <w:t>.</w:t>
      </w:r>
    </w:p>
    <w:p w14:paraId="19A94E9A" w14:textId="77777777" w:rsidR="00302E09" w:rsidRDefault="00302E09" w:rsidP="001C7495">
      <w:pPr>
        <w:pStyle w:val="ListNumber"/>
        <w:numPr>
          <w:ilvl w:val="0"/>
          <w:numId w:val="0"/>
        </w:numPr>
        <w:ind w:left="709"/>
      </w:pPr>
    </w:p>
    <w:p w14:paraId="0F392C0A" w14:textId="77777777" w:rsidR="00551652" w:rsidRDefault="00F91DF7" w:rsidP="00E02E9E">
      <w:pPr>
        <w:pStyle w:val="Heading1"/>
      </w:pPr>
      <w:r>
        <w:t>3</w:t>
      </w:r>
      <w:r w:rsidR="004507D8" w:rsidRPr="00FC5EE0">
        <w:t xml:space="preserve">.- </w:t>
      </w:r>
      <w:r w:rsidR="004507D8">
        <w:t>Data requirements</w:t>
      </w:r>
      <w:r w:rsidR="00E02E9E">
        <w:t xml:space="preserve"> </w:t>
      </w:r>
      <w:r w:rsidR="005B0C94">
        <w:t>for</w:t>
      </w:r>
      <w:r w:rsidR="00EF770B">
        <w:t xml:space="preserve"> endocrine disruptors</w:t>
      </w:r>
      <w:r w:rsidR="004507D8">
        <w:t xml:space="preserve"> </w:t>
      </w:r>
    </w:p>
    <w:p w14:paraId="1F5B27B1" w14:textId="63854A9E" w:rsidR="008719E6" w:rsidRDefault="008719E6" w:rsidP="00E50623">
      <w:pPr>
        <w:pStyle w:val="ListNumber"/>
      </w:pPr>
      <w:r>
        <w:t xml:space="preserve">The Annexes </w:t>
      </w:r>
      <w:r w:rsidR="005B0C94">
        <w:t>to</w:t>
      </w:r>
      <w:r>
        <w:t xml:space="preserve"> the BPR </w:t>
      </w:r>
      <w:r w:rsidR="008F705E">
        <w:t>as well as the Annex to the</w:t>
      </w:r>
      <w:r w:rsidR="00D90B9E">
        <w:t xml:space="preserve"> Regulation (EU) No 2017/2100 </w:t>
      </w:r>
      <w:r w:rsidR="008F705E">
        <w:t xml:space="preserve"> setting ED criteria point out </w:t>
      </w:r>
      <w:r>
        <w:t>data elements</w:t>
      </w:r>
      <w:r w:rsidR="00A227A9">
        <w:rPr>
          <w:rStyle w:val="FootnoteReference"/>
        </w:rPr>
        <w:footnoteReference w:id="21"/>
      </w:r>
      <w:r>
        <w:t xml:space="preserve"> that may be required</w:t>
      </w:r>
      <w:r w:rsidR="008F705E">
        <w:t xml:space="preserve"> to determine whether a </w:t>
      </w:r>
      <w:r w:rsidR="008F705E">
        <w:lastRenderedPageBreak/>
        <w:t>substance has ED properties</w:t>
      </w:r>
      <w:r>
        <w:t xml:space="preserve">. </w:t>
      </w:r>
      <w:r w:rsidR="003650DF">
        <w:t xml:space="preserve">These data elements </w:t>
      </w:r>
      <w:r w:rsidR="008F705E">
        <w:t xml:space="preserve">in the Annexes to the BPR </w:t>
      </w:r>
      <w:r w:rsidR="003650DF">
        <w:t>are currently not very specific and, following the joint ECHA and EFSA scientific guidance, may need to be further specified</w:t>
      </w:r>
      <w:r w:rsidR="003650DF" w:rsidRPr="009A1563">
        <w:t>.</w:t>
      </w:r>
    </w:p>
    <w:p w14:paraId="070E83A7" w14:textId="77777777" w:rsidR="00AB0542" w:rsidRDefault="003C5BAE" w:rsidP="00E77271">
      <w:pPr>
        <w:pStyle w:val="ListNumber"/>
      </w:pPr>
      <w:r>
        <w:t xml:space="preserve">The </w:t>
      </w:r>
      <w:r w:rsidR="005B0C94">
        <w:t xml:space="preserve">BPR </w:t>
      </w:r>
      <w:r>
        <w:t>Annex</w:t>
      </w:r>
      <w:r w:rsidR="008719E6">
        <w:t>es</w:t>
      </w:r>
      <w:r w:rsidR="00E36109">
        <w:t xml:space="preserve"> </w:t>
      </w:r>
      <w:r w:rsidR="00A3667C">
        <w:t xml:space="preserve">specify </w:t>
      </w:r>
      <w:r>
        <w:t xml:space="preserve">that information on endocrine disruption belongs to Additional Data Set (ADS). </w:t>
      </w:r>
      <w:r w:rsidR="00E77271">
        <w:t xml:space="preserve">ADS data, as defined in point 2 of Annex II </w:t>
      </w:r>
      <w:r w:rsidR="00E93A3F">
        <w:t>to</w:t>
      </w:r>
      <w:r w:rsidR="00E77271">
        <w:t xml:space="preserve"> the BPR, are d</w:t>
      </w:r>
      <w:r w:rsidR="00E77271" w:rsidRPr="00E77271">
        <w:t xml:space="preserve">ata elements to be provided for a specific active substance taking into account, </w:t>
      </w:r>
      <w:r w:rsidR="00E77271" w:rsidRPr="00022B05">
        <w:rPr>
          <w:i/>
        </w:rPr>
        <w:t>inter alia</w:t>
      </w:r>
      <w:r w:rsidR="00E77271" w:rsidRPr="00E77271">
        <w:t>, the physical and chemical properties of the substance, existing data, information which is part of the C</w:t>
      </w:r>
      <w:r w:rsidR="00AB0542">
        <w:t>ore Date Set (C</w:t>
      </w:r>
      <w:r w:rsidR="00E77271" w:rsidRPr="00E77271">
        <w:t>DS</w:t>
      </w:r>
      <w:r w:rsidR="00AB0542">
        <w:t>)</w:t>
      </w:r>
      <w:r w:rsidR="00E77271" w:rsidRPr="00E77271">
        <w:t xml:space="preserve"> and the types of products in which the active substance will be used and the exposure patterns related to these uses.</w:t>
      </w:r>
      <w:r w:rsidR="00E77271">
        <w:t xml:space="preserve"> </w:t>
      </w:r>
      <w:r w:rsidR="00AB0542">
        <w:t>The data elements belonging to the CDS are considered as the basic data that should, in principle, be provided for all active substances.</w:t>
      </w:r>
    </w:p>
    <w:p w14:paraId="52DD42AF" w14:textId="77777777" w:rsidR="00AC6055" w:rsidRDefault="00AB0542" w:rsidP="00E77271">
      <w:pPr>
        <w:pStyle w:val="ListNumber"/>
      </w:pPr>
      <w:r>
        <w:t xml:space="preserve">It is important to note that Annex II </w:t>
      </w:r>
      <w:r w:rsidR="00AC6055">
        <w:t xml:space="preserve">was drafted </w:t>
      </w:r>
      <w:r w:rsidR="005B0C94">
        <w:t xml:space="preserve">when </w:t>
      </w:r>
      <w:r w:rsidR="00AC6055">
        <w:t xml:space="preserve">neither scientific criteria </w:t>
      </w:r>
      <w:r w:rsidR="005B0C94">
        <w:t>n</w:t>
      </w:r>
      <w:r w:rsidR="00AC6055">
        <w:t>or guidance for determi</w:t>
      </w:r>
      <w:r w:rsidR="00DD0CC4">
        <w:t>ni</w:t>
      </w:r>
      <w:r w:rsidR="00AC6055">
        <w:t>n</w:t>
      </w:r>
      <w:r w:rsidR="005B0C94">
        <w:t>g ED</w:t>
      </w:r>
      <w:r w:rsidR="00AC6055">
        <w:t xml:space="preserve"> prop</w:t>
      </w:r>
      <w:r w:rsidR="004E6501">
        <w:t>erties</w:t>
      </w:r>
      <w:r w:rsidR="00022B05">
        <w:t xml:space="preserve"> existed</w:t>
      </w:r>
      <w:r w:rsidR="00AC6055">
        <w:t>.</w:t>
      </w:r>
    </w:p>
    <w:p w14:paraId="0D540314" w14:textId="77777777" w:rsidR="000B3B9D" w:rsidRDefault="00E77271" w:rsidP="000B3B9D">
      <w:pPr>
        <w:pStyle w:val="ListNumber"/>
      </w:pPr>
      <w:r>
        <w:t xml:space="preserve">The </w:t>
      </w:r>
      <w:proofErr w:type="spellStart"/>
      <w:r>
        <w:t>eCA</w:t>
      </w:r>
      <w:proofErr w:type="spellEnd"/>
      <w:r>
        <w:t xml:space="preserve"> may</w:t>
      </w:r>
      <w:r w:rsidR="001742FB">
        <w:t xml:space="preserve"> decide that </w:t>
      </w:r>
      <w:r w:rsidR="005B0C94">
        <w:t xml:space="preserve">it needs </w:t>
      </w:r>
      <w:r w:rsidR="001742FB">
        <w:t xml:space="preserve">additional information </w:t>
      </w:r>
      <w:r w:rsidR="00C10DE5">
        <w:t xml:space="preserve">to </w:t>
      </w:r>
      <w:r w:rsidR="001742FB">
        <w:t>assess</w:t>
      </w:r>
      <w:r w:rsidR="005B0C94">
        <w:t xml:space="preserve"> the active substance and</w:t>
      </w:r>
      <w:r w:rsidR="00C10DE5">
        <w:t xml:space="preserve"> decide </w:t>
      </w:r>
      <w:r w:rsidR="00AC6055">
        <w:t xml:space="preserve">whether </w:t>
      </w:r>
      <w:r w:rsidR="005B0C94">
        <w:t>or not it has ED</w:t>
      </w:r>
      <w:r w:rsidR="006140FA">
        <w:t xml:space="preserve"> properties</w:t>
      </w:r>
      <w:r w:rsidR="003C5BAE">
        <w:t xml:space="preserve">. </w:t>
      </w:r>
      <w:r w:rsidR="006C4E36">
        <w:t xml:space="preserve">In </w:t>
      </w:r>
      <w:r w:rsidR="005B0C94">
        <w:t xml:space="preserve">making </w:t>
      </w:r>
      <w:r w:rsidR="006C4E36">
        <w:t>this decision</w:t>
      </w:r>
      <w:r w:rsidR="005B0C94">
        <w:t>,</w:t>
      </w:r>
      <w:r w:rsidR="006C4E36">
        <w:t xml:space="preserve"> the </w:t>
      </w:r>
      <w:proofErr w:type="spellStart"/>
      <w:r w:rsidR="006C4E36">
        <w:t>eCA</w:t>
      </w:r>
      <w:proofErr w:type="spellEnd"/>
      <w:r w:rsidR="006C4E36">
        <w:t xml:space="preserve"> has to balance the rights of the applicant, the objective of </w:t>
      </w:r>
      <w:r w:rsidR="00A645BE">
        <w:t xml:space="preserve">ensuring </w:t>
      </w:r>
      <w:r w:rsidR="006C4E36">
        <w:t>a high level of protection of health and the environment</w:t>
      </w:r>
      <w:r w:rsidR="00A227A9">
        <w:rPr>
          <w:rStyle w:val="FootnoteReference"/>
        </w:rPr>
        <w:footnoteReference w:id="22"/>
      </w:r>
      <w:r w:rsidR="006C4E36">
        <w:t>, and the need to obtain sufficient information in order to determine whether a substance has ED properties.</w:t>
      </w:r>
      <w:r w:rsidR="00307893">
        <w:t xml:space="preserve"> </w:t>
      </w:r>
      <w:r w:rsidR="003C5BAE">
        <w:t xml:space="preserve"> </w:t>
      </w:r>
      <w:r w:rsidR="003716CA">
        <w:t xml:space="preserve">The </w:t>
      </w:r>
      <w:proofErr w:type="spellStart"/>
      <w:r w:rsidR="003716CA">
        <w:t>eCA</w:t>
      </w:r>
      <w:proofErr w:type="spellEnd"/>
      <w:r w:rsidR="003716CA">
        <w:t xml:space="preserve"> may ask advice of the ED Expert Group on the need o</w:t>
      </w:r>
      <w:r w:rsidR="00487234">
        <w:t>f</w:t>
      </w:r>
      <w:r w:rsidR="003716CA">
        <w:t xml:space="preserve"> further information and the type of data </w:t>
      </w:r>
      <w:r w:rsidR="00487234">
        <w:t xml:space="preserve">or information </w:t>
      </w:r>
      <w:r w:rsidR="003716CA">
        <w:t>that may be required.</w:t>
      </w:r>
    </w:p>
    <w:p w14:paraId="6B06BF06" w14:textId="00DED90A" w:rsidR="00E27760" w:rsidRPr="004575BD" w:rsidRDefault="00C331C9" w:rsidP="00E27760">
      <w:pPr>
        <w:pStyle w:val="ListNumber"/>
      </w:pPr>
      <w:r>
        <w:t xml:space="preserve">The same </w:t>
      </w:r>
      <w:r w:rsidR="00127FCA">
        <w:t xml:space="preserve">active </w:t>
      </w:r>
      <w:r>
        <w:t xml:space="preserve">substance may be used in </w:t>
      </w:r>
      <w:r w:rsidR="005B0C94">
        <w:t>biocidal products and plant protection products</w:t>
      </w:r>
      <w:r>
        <w:t xml:space="preserve">. Information on EDs submitted for the </w:t>
      </w:r>
      <w:r w:rsidR="005B7A03">
        <w:t>approval</w:t>
      </w:r>
      <w:r>
        <w:t xml:space="preserve"> of </w:t>
      </w:r>
      <w:r w:rsidR="005B7A03">
        <w:t xml:space="preserve">an active substance under the </w:t>
      </w:r>
      <w:r>
        <w:t>P</w:t>
      </w:r>
      <w:r w:rsidR="005B0C94">
        <w:t>lant Protection Products</w:t>
      </w:r>
      <w:r w:rsidR="005B7A03">
        <w:t xml:space="preserve"> Regulation</w:t>
      </w:r>
      <w:r>
        <w:rPr>
          <w:rStyle w:val="FootnoteReference"/>
        </w:rPr>
        <w:footnoteReference w:id="23"/>
      </w:r>
      <w:r>
        <w:t xml:space="preserve"> can </w:t>
      </w:r>
      <w:r w:rsidR="00127FCA">
        <w:t xml:space="preserve">also </w:t>
      </w:r>
      <w:r>
        <w:t xml:space="preserve">be used by </w:t>
      </w:r>
      <w:r w:rsidR="00C10DE5">
        <w:t xml:space="preserve">the </w:t>
      </w:r>
      <w:proofErr w:type="spellStart"/>
      <w:r w:rsidR="00C10DE5">
        <w:t>eCA</w:t>
      </w:r>
      <w:proofErr w:type="spellEnd"/>
      <w:r w:rsidR="00C10DE5">
        <w:t xml:space="preserve"> </w:t>
      </w:r>
      <w:r>
        <w:t xml:space="preserve">in </w:t>
      </w:r>
      <w:r w:rsidR="003650DF">
        <w:t>the</w:t>
      </w:r>
      <w:r>
        <w:t xml:space="preserve"> assessment</w:t>
      </w:r>
      <w:r w:rsidR="003E7902">
        <w:t>s</w:t>
      </w:r>
      <w:r w:rsidR="00C10DE5">
        <w:t xml:space="preserve">, as any available information can be used to reach a conclusion on </w:t>
      </w:r>
      <w:r w:rsidR="003E7902">
        <w:t xml:space="preserve">the </w:t>
      </w:r>
      <w:r w:rsidR="00C10DE5">
        <w:t>properties of biocidal active substances</w:t>
      </w:r>
      <w:r>
        <w:t xml:space="preserve">. </w:t>
      </w:r>
      <w:r w:rsidR="00E27760">
        <w:t xml:space="preserve"> This is consisten</w:t>
      </w:r>
      <w:r w:rsidR="001F731F">
        <w:t>t</w:t>
      </w:r>
      <w:r w:rsidR="00E27760">
        <w:t xml:space="preserve"> with point 8 of Annex VI (common principles for the evaluation of dossiers for biocidal products) of the BPR stating that the evaluating body shall take into consideration other relevant technical or scientific information which is reasonably available to them with regard to the properties of the biocidal product, its components, metabolites, or residues. </w:t>
      </w:r>
      <w:r w:rsidR="00441B19">
        <w:t>T</w:t>
      </w:r>
      <w:r w:rsidR="003E7902">
        <w:t xml:space="preserve">he </w:t>
      </w:r>
      <w:r w:rsidRPr="00E27760">
        <w:rPr>
          <w:rFonts w:cs="EUAlbertina"/>
          <w:color w:val="000000"/>
        </w:rPr>
        <w:t xml:space="preserve">ECHA and </w:t>
      </w:r>
      <w:r w:rsidR="003E7902" w:rsidRPr="00E27760">
        <w:rPr>
          <w:rFonts w:cs="EUAlbertina"/>
          <w:color w:val="000000"/>
        </w:rPr>
        <w:t>the European Food Safety Authority (</w:t>
      </w:r>
      <w:r w:rsidRPr="00E27760">
        <w:rPr>
          <w:rFonts w:cs="EUAlbertina"/>
          <w:color w:val="000000"/>
        </w:rPr>
        <w:t>EFSA</w:t>
      </w:r>
      <w:r w:rsidR="003E7902" w:rsidRPr="00E27760">
        <w:rPr>
          <w:rFonts w:cs="EUAlbertina"/>
          <w:color w:val="000000"/>
        </w:rPr>
        <w:t>)</w:t>
      </w:r>
      <w:r w:rsidRPr="00E27760">
        <w:rPr>
          <w:rFonts w:cs="EUAlbertina"/>
          <w:color w:val="000000"/>
        </w:rPr>
        <w:t xml:space="preserve"> should </w:t>
      </w:r>
      <w:r w:rsidR="003650DF" w:rsidRPr="002203F6">
        <w:rPr>
          <w:rFonts w:cs="EUAlbertina"/>
          <w:color w:val="000000"/>
        </w:rPr>
        <w:t>apply the esta</w:t>
      </w:r>
      <w:r w:rsidRPr="002203F6">
        <w:rPr>
          <w:rFonts w:cs="EUAlbertina"/>
          <w:color w:val="000000"/>
        </w:rPr>
        <w:t>blish</w:t>
      </w:r>
      <w:r w:rsidR="003650DF" w:rsidRPr="002203F6">
        <w:rPr>
          <w:rFonts w:cs="EUAlbertina"/>
          <w:color w:val="000000"/>
        </w:rPr>
        <w:t>ed</w:t>
      </w:r>
      <w:r w:rsidRPr="00E27760">
        <w:rPr>
          <w:rFonts w:cs="EUAlbertina"/>
          <w:color w:val="000000"/>
        </w:rPr>
        <w:t xml:space="preserve"> procedures </w:t>
      </w:r>
      <w:r w:rsidR="003650DF" w:rsidRPr="00E27760">
        <w:rPr>
          <w:rFonts w:cs="EUAlbertina"/>
          <w:color w:val="000000"/>
        </w:rPr>
        <w:t>in the Memorandum of Understanding of 20 May 2009 t</w:t>
      </w:r>
      <w:r w:rsidR="00E36D4E" w:rsidRPr="00E27760">
        <w:rPr>
          <w:rFonts w:cs="EUAlbertina"/>
          <w:color w:val="000000"/>
        </w:rPr>
        <w:t>o</w:t>
      </w:r>
      <w:r w:rsidR="00AC6055" w:rsidRPr="00E27760">
        <w:rPr>
          <w:rFonts w:cs="EUAlbertina"/>
          <w:color w:val="000000"/>
        </w:rPr>
        <w:t xml:space="preserve"> </w:t>
      </w:r>
      <w:r w:rsidR="00302023">
        <w:rPr>
          <w:rFonts w:cs="EUAlbertina"/>
          <w:color w:val="000000"/>
        </w:rPr>
        <w:t xml:space="preserve">enable </w:t>
      </w:r>
      <w:r w:rsidR="003E7902" w:rsidRPr="00E27760">
        <w:rPr>
          <w:rFonts w:cs="EUAlbertina"/>
          <w:color w:val="000000"/>
        </w:rPr>
        <w:t xml:space="preserve">ED data submitted to the EFSA on the same substance to be used </w:t>
      </w:r>
      <w:r w:rsidR="00AC6055" w:rsidRPr="00E27760">
        <w:rPr>
          <w:rFonts w:cs="EUAlbertina"/>
          <w:color w:val="000000"/>
        </w:rPr>
        <w:t>in evaluati</w:t>
      </w:r>
      <w:r w:rsidR="003E7902" w:rsidRPr="00E27760">
        <w:rPr>
          <w:rFonts w:cs="EUAlbertina"/>
          <w:color w:val="000000"/>
        </w:rPr>
        <w:t>ng a</w:t>
      </w:r>
      <w:r w:rsidR="00AC6055" w:rsidRPr="00E27760">
        <w:rPr>
          <w:rFonts w:cs="EUAlbertina"/>
          <w:color w:val="000000"/>
        </w:rPr>
        <w:t xml:space="preserve"> biocidal active substance</w:t>
      </w:r>
      <w:r w:rsidR="003650DF" w:rsidRPr="00E27760">
        <w:rPr>
          <w:rFonts w:cs="EUAlbertina"/>
          <w:color w:val="000000"/>
        </w:rPr>
        <w:t xml:space="preserve"> and vice versa</w:t>
      </w:r>
      <w:r w:rsidRPr="00E27760">
        <w:rPr>
          <w:rFonts w:cs="EUAlbertina"/>
          <w:color w:val="000000"/>
        </w:rPr>
        <w:t>.</w:t>
      </w:r>
      <w:r w:rsidR="00E27760">
        <w:rPr>
          <w:rFonts w:cs="EUAlbertina"/>
          <w:color w:val="000000"/>
        </w:rPr>
        <w:t xml:space="preserve"> </w:t>
      </w:r>
    </w:p>
    <w:p w14:paraId="5D3B70D0" w14:textId="593D5B5C" w:rsidR="00891231" w:rsidRDefault="00E27760" w:rsidP="00C10722">
      <w:pPr>
        <w:pStyle w:val="ListNumber"/>
      </w:pPr>
      <w:r>
        <w:t xml:space="preserve">This approach of using data or information submitted by an applicant under other EU rules is consistent with the data protection rules in Article 59 of the BPR and Article 59 </w:t>
      </w:r>
      <w:r>
        <w:lastRenderedPageBreak/>
        <w:t xml:space="preserve">of the Regulation (EC) No 1107/2009 (plant protection products) as these rules clarify that the data protection applies only to the use of data for the benefit of other applicants under these regulations.   </w:t>
      </w:r>
    </w:p>
    <w:sectPr w:rsidR="00891231" w:rsidSect="00891231">
      <w:headerReference w:type="default" r:id="rId9"/>
      <w:footerReference w:type="even" r:id="rId10"/>
      <w:footerReference w:type="default" r:id="rId11"/>
      <w:headerReference w:type="first" r:id="rId12"/>
      <w:footerReference w:type="first" r:id="rId13"/>
      <w:pgSz w:w="11906" w:h="16838"/>
      <w:pgMar w:top="1021" w:right="1701" w:bottom="1021" w:left="960" w:header="601" w:footer="1077"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E56595" w15:done="0"/>
  <w15:commentEx w15:paraId="7F7672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F2390" w14:textId="77777777" w:rsidR="003166BA" w:rsidRDefault="003166BA">
      <w:r>
        <w:separator/>
      </w:r>
    </w:p>
  </w:endnote>
  <w:endnote w:type="continuationSeparator" w:id="0">
    <w:p w14:paraId="53868ACD" w14:textId="77777777" w:rsidR="003166BA" w:rsidRDefault="003166BA">
      <w:r>
        <w:continuationSeparator/>
      </w:r>
    </w:p>
  </w:endnote>
  <w:endnote w:type="continuationNotice" w:id="1">
    <w:p w14:paraId="53F44681" w14:textId="77777777" w:rsidR="003166BA" w:rsidRDefault="003166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4E322" w14:textId="77777777" w:rsidR="0072785A" w:rsidRDefault="0072785A" w:rsidP="00AE3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7A8627" w14:textId="77777777" w:rsidR="0072785A" w:rsidRDefault="0072785A" w:rsidP="006133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A006" w14:textId="77777777" w:rsidR="0072785A" w:rsidRDefault="0072785A" w:rsidP="00F55A4E">
    <w:pPr>
      <w:pStyle w:val="Footer"/>
      <w:framePr w:w="402" w:h="236" w:hRule="exact" w:wrap="around" w:vAnchor="text" w:hAnchor="page" w:x="9780" w:yAlign="top"/>
      <w:rPr>
        <w:rStyle w:val="PageNumber"/>
      </w:rPr>
    </w:pPr>
    <w:r>
      <w:rPr>
        <w:rStyle w:val="PageNumber"/>
      </w:rPr>
      <w:fldChar w:fldCharType="begin"/>
    </w:r>
    <w:r>
      <w:rPr>
        <w:rStyle w:val="PageNumber"/>
      </w:rPr>
      <w:instrText xml:space="preserve">PAGE  </w:instrText>
    </w:r>
    <w:r>
      <w:rPr>
        <w:rStyle w:val="PageNumber"/>
      </w:rPr>
      <w:fldChar w:fldCharType="separate"/>
    </w:r>
    <w:r w:rsidR="00237C65">
      <w:rPr>
        <w:rStyle w:val="PageNumber"/>
        <w:noProof/>
      </w:rPr>
      <w:t>2</w:t>
    </w:r>
    <w:r>
      <w:rPr>
        <w:rStyle w:val="PageNumber"/>
      </w:rPr>
      <w:fldChar w:fldCharType="end"/>
    </w:r>
    <w:r>
      <w:rPr>
        <w:rStyle w:val="PageNumber"/>
      </w:rPr>
      <w:t>/</w:t>
    </w:r>
    <w:r w:rsidR="00CC6AC7">
      <w:rPr>
        <w:rStyle w:val="PageNumber"/>
      </w:rPr>
      <w:t>8</w:t>
    </w:r>
  </w:p>
  <w:p w14:paraId="13FCDCE0" w14:textId="77777777" w:rsidR="0072785A" w:rsidRDefault="0072785A" w:rsidP="006133B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5E049" w14:textId="77777777" w:rsidR="0072785A" w:rsidRDefault="0072785A">
    <w:pPr>
      <w:pStyle w:val="Footer"/>
      <w:rPr>
        <w:sz w:val="24"/>
        <w:szCs w:val="24"/>
      </w:rPr>
    </w:pPr>
  </w:p>
  <w:p w14:paraId="3A9A0B90" w14:textId="77777777" w:rsidR="0072785A" w:rsidRDefault="0072785A">
    <w:pPr>
      <w:pStyle w:val="Footer"/>
    </w:pPr>
    <w:r w:rsidRPr="00710222">
      <w:rPr>
        <w:lang w:val="fr-FR"/>
      </w:rPr>
      <w:t>Commission européenne/</w:t>
    </w:r>
    <w:proofErr w:type="spellStart"/>
    <w:r w:rsidRPr="00710222">
      <w:rPr>
        <w:lang w:val="fr-FR"/>
      </w:rPr>
      <w:t>Europese</w:t>
    </w:r>
    <w:proofErr w:type="spellEnd"/>
    <w:r w:rsidRPr="00710222">
      <w:rPr>
        <w:lang w:val="fr-FR"/>
      </w:rPr>
      <w:t xml:space="preserve"> </w:t>
    </w:r>
    <w:proofErr w:type="spellStart"/>
    <w:r w:rsidRPr="00710222">
      <w:rPr>
        <w:lang w:val="fr-FR"/>
      </w:rPr>
      <w:t>Commissie</w:t>
    </w:r>
    <w:proofErr w:type="spellEnd"/>
    <w:r w:rsidRPr="00710222">
      <w:rPr>
        <w:lang w:val="fr-FR"/>
      </w:rPr>
      <w:t xml:space="preserve">, 1049 Bruxelles/Brussel, BELGIQUE/BELGIË - Tel. </w:t>
    </w:r>
    <w:r>
      <w:t>+32 22991111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9775B" w14:textId="77777777" w:rsidR="003166BA" w:rsidRDefault="003166BA">
      <w:r>
        <w:separator/>
      </w:r>
    </w:p>
  </w:footnote>
  <w:footnote w:type="continuationSeparator" w:id="0">
    <w:p w14:paraId="28502BCD" w14:textId="77777777" w:rsidR="003166BA" w:rsidRDefault="003166BA">
      <w:r>
        <w:continuationSeparator/>
      </w:r>
    </w:p>
  </w:footnote>
  <w:footnote w:type="continuationNotice" w:id="1">
    <w:p w14:paraId="5C7AA50B" w14:textId="77777777" w:rsidR="003166BA" w:rsidRDefault="003166BA">
      <w:pPr>
        <w:spacing w:after="0"/>
      </w:pPr>
    </w:p>
  </w:footnote>
  <w:footnote w:id="2">
    <w:p w14:paraId="7FE04228" w14:textId="4615051E" w:rsidR="00AD45C5" w:rsidRPr="00AD45C5" w:rsidRDefault="00AD45C5">
      <w:pPr>
        <w:pStyle w:val="FootnoteText"/>
      </w:pPr>
      <w:r>
        <w:rPr>
          <w:rStyle w:val="FootnoteReference"/>
        </w:rPr>
        <w:footnoteRef/>
      </w:r>
      <w:r>
        <w:t xml:space="preserve"> </w:t>
      </w:r>
      <w:r>
        <w:rPr>
          <w:lang w:val="en-GB"/>
        </w:rPr>
        <w:t xml:space="preserve">Commission Delegated Regulation (EU) 2017/2100 was published on 17 November 2017 (see link for all official languages in official journal: </w:t>
      </w:r>
      <w:hyperlink r:id="rId1" w:history="1">
        <w:r w:rsidRPr="006F0E85">
          <w:rPr>
            <w:rStyle w:val="Hyperlink"/>
            <w:lang w:val="en-GB"/>
          </w:rPr>
          <w:t>http://eur-lex.europa.eu/eli/reg_del/2017/2100/oj</w:t>
        </w:r>
      </w:hyperlink>
      <w:r>
        <w:rPr>
          <w:lang w:val="en-GB"/>
        </w:rPr>
        <w:t>) and will be applicable as of 7 June 2018.</w:t>
      </w:r>
    </w:p>
  </w:footnote>
  <w:footnote w:id="3">
    <w:p w14:paraId="74822326" w14:textId="77777777" w:rsidR="00D3616C" w:rsidRPr="006552F3" w:rsidRDefault="00D3616C">
      <w:pPr>
        <w:pStyle w:val="FootnoteText"/>
        <w:rPr>
          <w:lang w:val="en-GB"/>
        </w:rPr>
      </w:pPr>
      <w:r>
        <w:rPr>
          <w:rStyle w:val="FootnoteReference"/>
        </w:rPr>
        <w:footnoteRef/>
      </w:r>
      <w:r>
        <w:t xml:space="preserve"> </w:t>
      </w:r>
      <w:r w:rsidR="006C2599">
        <w:rPr>
          <w:lang w:val="en-GB"/>
        </w:rPr>
        <w:tab/>
      </w:r>
      <w:r w:rsidRPr="006552F3">
        <w:rPr>
          <w:lang w:val="en-GB"/>
        </w:rPr>
        <w:t xml:space="preserve">This covers </w:t>
      </w:r>
      <w:r w:rsidR="00165541" w:rsidRPr="006552F3">
        <w:rPr>
          <w:lang w:val="en-GB"/>
        </w:rPr>
        <w:t xml:space="preserve">all </w:t>
      </w:r>
      <w:r w:rsidRPr="006552F3">
        <w:rPr>
          <w:lang w:val="en-GB"/>
        </w:rPr>
        <w:t>procedures</w:t>
      </w:r>
      <w:r w:rsidR="00165541" w:rsidRPr="006552F3">
        <w:rPr>
          <w:lang w:val="en-GB"/>
        </w:rPr>
        <w:t xml:space="preserve"> for approval of active substances including the evaluation under the Review Programme (Articles </w:t>
      </w:r>
      <w:r w:rsidR="00995B21" w:rsidRPr="006552F3">
        <w:rPr>
          <w:lang w:val="en-GB"/>
        </w:rPr>
        <w:t xml:space="preserve">7, 89 and 93 of the BPR and the </w:t>
      </w:r>
      <w:r w:rsidR="009A1563" w:rsidRPr="006552F3">
        <w:rPr>
          <w:lang w:val="en-GB"/>
        </w:rPr>
        <w:t>Commission Delegated</w:t>
      </w:r>
      <w:r w:rsidR="00995B21" w:rsidRPr="006552F3">
        <w:rPr>
          <w:lang w:val="en-GB"/>
        </w:rPr>
        <w:t xml:space="preserve"> Regulation </w:t>
      </w:r>
      <w:r w:rsidR="009A1563" w:rsidRPr="006552F3">
        <w:rPr>
          <w:lang w:val="en-GB"/>
        </w:rPr>
        <w:t>(EU) No 1062/2014</w:t>
      </w:r>
      <w:r w:rsidR="00995B21" w:rsidRPr="006552F3">
        <w:rPr>
          <w:lang w:val="en-GB"/>
        </w:rPr>
        <w:t>)</w:t>
      </w:r>
      <w:r w:rsidR="006C2599">
        <w:rPr>
          <w:lang w:val="en-GB"/>
        </w:rPr>
        <w:t>.</w:t>
      </w:r>
    </w:p>
  </w:footnote>
  <w:footnote w:id="4">
    <w:p w14:paraId="3F8B51A1" w14:textId="77777777" w:rsidR="00766182" w:rsidRPr="00E562E8" w:rsidRDefault="00766182">
      <w:pPr>
        <w:pStyle w:val="FootnoteText"/>
        <w:rPr>
          <w:lang w:val="en-GB"/>
        </w:rPr>
      </w:pPr>
      <w:r>
        <w:rPr>
          <w:rStyle w:val="FootnoteReference"/>
        </w:rPr>
        <w:footnoteRef/>
      </w:r>
      <w:r>
        <w:t xml:space="preserve"> </w:t>
      </w:r>
      <w:r w:rsidR="006C2599">
        <w:rPr>
          <w:lang w:val="en-GB"/>
        </w:rPr>
        <w:tab/>
      </w:r>
      <w:r w:rsidR="00E562E8" w:rsidRPr="00E562E8">
        <w:rPr>
          <w:lang w:val="en-GB"/>
        </w:rPr>
        <w:t>On June 2017</w:t>
      </w:r>
      <w:r w:rsidR="00E562E8">
        <w:rPr>
          <w:lang w:val="en-GB"/>
        </w:rPr>
        <w:t xml:space="preserve"> </w:t>
      </w:r>
      <w:r w:rsidR="00E562E8" w:rsidRPr="00D21B53">
        <w:rPr>
          <w:lang w:val="en-GB"/>
        </w:rPr>
        <w:t xml:space="preserve">for </w:t>
      </w:r>
      <w:r w:rsidR="00D21B53" w:rsidRPr="00D21B53">
        <w:rPr>
          <w:lang w:val="en-GB"/>
        </w:rPr>
        <w:t>71</w:t>
      </w:r>
      <w:r w:rsidRPr="00D21B53">
        <w:rPr>
          <w:lang w:val="en-GB"/>
        </w:rPr>
        <w:t xml:space="preserve"> active</w:t>
      </w:r>
      <w:r w:rsidRPr="00E562E8">
        <w:rPr>
          <w:lang w:val="en-GB"/>
        </w:rPr>
        <w:t xml:space="preserve"> substance-product type combinations </w:t>
      </w:r>
      <w:r w:rsidR="00E562E8" w:rsidRPr="00E562E8">
        <w:rPr>
          <w:lang w:val="en-GB"/>
        </w:rPr>
        <w:t>the rapporteur Member State submitted its assessment report before 1 September 2013 and are still under peer review by ECHA</w:t>
      </w:r>
      <w:r w:rsidR="00682184">
        <w:rPr>
          <w:lang w:val="en-GB"/>
        </w:rPr>
        <w:t>,</w:t>
      </w:r>
      <w:r w:rsidR="00E562E8">
        <w:rPr>
          <w:lang w:val="en-GB"/>
        </w:rPr>
        <w:t xml:space="preserve"> or ECHA submitted its opinion to the Commission and the Standing Committee has not voted on the draft regulation</w:t>
      </w:r>
      <w:r w:rsidR="00E562E8" w:rsidRPr="00E562E8">
        <w:rPr>
          <w:lang w:val="en-GB"/>
        </w:rPr>
        <w:t>.</w:t>
      </w:r>
    </w:p>
  </w:footnote>
  <w:footnote w:id="5">
    <w:p w14:paraId="5EC76BD2" w14:textId="77777777" w:rsidR="00AE2F3A" w:rsidRPr="003166BA" w:rsidRDefault="00AE2F3A">
      <w:pPr>
        <w:pStyle w:val="FootnoteText"/>
        <w:rPr>
          <w:lang w:val="en-GB"/>
        </w:rPr>
      </w:pPr>
      <w:r>
        <w:rPr>
          <w:rStyle w:val="FootnoteReference"/>
        </w:rPr>
        <w:footnoteRef/>
      </w:r>
      <w:r>
        <w:t xml:space="preserve"> </w:t>
      </w:r>
      <w:r w:rsidRPr="003166BA">
        <w:rPr>
          <w:lang w:val="en-GB"/>
        </w:rPr>
        <w:tab/>
        <w:t xml:space="preserve">Please note that </w:t>
      </w:r>
      <w:r>
        <w:rPr>
          <w:lang w:val="en-GB"/>
        </w:rPr>
        <w:t>a</w:t>
      </w:r>
      <w:r>
        <w:t xml:space="preserve"> biocidal product containing a substance with endocrine-disrupting properties, or fulfilling the interim criteria pending the adoption of ED criteria, can only be authorised by a Member State if one of the conditions of Article 5(2) of the BPR are met in that Member State</w:t>
      </w:r>
    </w:p>
  </w:footnote>
  <w:footnote w:id="6">
    <w:p w14:paraId="23804B6E" w14:textId="77777777" w:rsidR="0072785A" w:rsidRPr="00692D3F" w:rsidRDefault="0072785A" w:rsidP="00F753D2">
      <w:pPr>
        <w:pStyle w:val="FootnoteText"/>
        <w:spacing w:after="120"/>
        <w:ind w:left="284" w:hanging="284"/>
        <w:rPr>
          <w:lang w:val="en-GB"/>
        </w:rPr>
      </w:pPr>
      <w:r>
        <w:rPr>
          <w:rStyle w:val="FootnoteReference"/>
        </w:rPr>
        <w:footnoteRef/>
      </w:r>
      <w:r>
        <w:t xml:space="preserve"> </w:t>
      </w:r>
      <w:r w:rsidR="0037034E">
        <w:rPr>
          <w:lang w:val="en-GB"/>
        </w:rPr>
        <w:tab/>
      </w:r>
      <w:r w:rsidRPr="00427EFC">
        <w:rPr>
          <w:lang w:val="en-GB"/>
        </w:rPr>
        <w:t>In accordance with established practice</w:t>
      </w:r>
      <w:r>
        <w:rPr>
          <w:lang w:val="en-GB"/>
        </w:rPr>
        <w:t xml:space="preserve"> and agreement as reflected into document "</w:t>
      </w:r>
      <w:r w:rsidRPr="003A656F">
        <w:rPr>
          <w:lang w:val="en-GB"/>
        </w:rPr>
        <w:t>CA-March14-Doc.4.1 - Final - Principles for substance approval.doc</w:t>
      </w:r>
      <w:r>
        <w:rPr>
          <w:lang w:val="en-GB"/>
        </w:rPr>
        <w:t xml:space="preserve">", an active substance meeting the exclusion criteria </w:t>
      </w:r>
      <w:proofErr w:type="spellStart"/>
      <w:r>
        <w:rPr>
          <w:lang w:val="en-GB"/>
        </w:rPr>
        <w:t>wil</w:t>
      </w:r>
      <w:proofErr w:type="spellEnd"/>
      <w:r>
        <w:rPr>
          <w:lang w:val="en-GB"/>
        </w:rPr>
        <w:t xml:space="preserve"> be approved for a</w:t>
      </w:r>
      <w:r w:rsidRPr="003D3736">
        <w:rPr>
          <w:lang w:val="en-GB"/>
        </w:rPr>
        <w:t xml:space="preserve"> </w:t>
      </w:r>
      <w:r>
        <w:rPr>
          <w:lang w:val="en-GB"/>
        </w:rPr>
        <w:t xml:space="preserve">maximum period </w:t>
      </w:r>
      <w:r w:rsidRPr="003D3736">
        <w:rPr>
          <w:lang w:val="en-GB"/>
        </w:rPr>
        <w:t xml:space="preserve">of </w:t>
      </w:r>
      <w:r>
        <w:rPr>
          <w:lang w:val="en-GB"/>
        </w:rPr>
        <w:t>5 years</w:t>
      </w:r>
      <w:r w:rsidRPr="005A4659">
        <w:rPr>
          <w:lang w:val="en-GB"/>
        </w:rPr>
        <w:t>.</w:t>
      </w:r>
    </w:p>
  </w:footnote>
  <w:footnote w:id="7">
    <w:p w14:paraId="0BDA8345" w14:textId="3EC548E3" w:rsidR="0072785A" w:rsidRPr="00504D8C" w:rsidRDefault="0072785A" w:rsidP="00F753D2">
      <w:pPr>
        <w:pStyle w:val="FootnoteText"/>
        <w:spacing w:after="120"/>
        <w:ind w:left="284" w:hanging="284"/>
        <w:rPr>
          <w:lang w:val="en-GB"/>
        </w:rPr>
      </w:pPr>
      <w:r>
        <w:rPr>
          <w:rStyle w:val="FootnoteReference"/>
        </w:rPr>
        <w:footnoteRef/>
      </w:r>
      <w:r>
        <w:t xml:space="preserve"> </w:t>
      </w:r>
      <w:r w:rsidR="0037034E">
        <w:rPr>
          <w:lang w:val="en-GB"/>
        </w:rPr>
        <w:tab/>
      </w:r>
      <w:r w:rsidRPr="00C10722">
        <w:rPr>
          <w:lang w:val="en-GB"/>
        </w:rPr>
        <w:t xml:space="preserve">See </w:t>
      </w:r>
      <w:r w:rsidR="009B45B8" w:rsidRPr="00C10722">
        <w:rPr>
          <w:lang w:val="en-GB"/>
        </w:rPr>
        <w:t>for further details</w:t>
      </w:r>
      <w:r w:rsidR="00A52692" w:rsidRPr="00C10722">
        <w:rPr>
          <w:lang w:val="en-GB"/>
        </w:rPr>
        <w:t xml:space="preserve"> the note </w:t>
      </w:r>
      <w:r w:rsidR="004E1A92" w:rsidRPr="00C10722">
        <w:rPr>
          <w:lang w:val="en-GB"/>
        </w:rPr>
        <w:t>agreed</w:t>
      </w:r>
      <w:r w:rsidR="00A52692" w:rsidRPr="00C10722">
        <w:rPr>
          <w:lang w:val="en-GB"/>
        </w:rPr>
        <w:t xml:space="preserve"> by Member States' competent authorities for biocidal products</w:t>
      </w:r>
      <w:r w:rsidR="004E1A92" w:rsidRPr="00C10722">
        <w:rPr>
          <w:lang w:val="en-GB"/>
        </w:rPr>
        <w:t xml:space="preserve"> (CA-March18.Doc.7.3.b-final)</w:t>
      </w:r>
      <w:r w:rsidR="00A52692" w:rsidRPr="00C10722">
        <w:rPr>
          <w:lang w:val="en-GB"/>
        </w:rPr>
        <w:t>:</w:t>
      </w:r>
      <w:r w:rsidR="009B45B8" w:rsidRPr="00C10722">
        <w:rPr>
          <w:lang w:val="en-GB"/>
        </w:rPr>
        <w:t xml:space="preserve"> '</w:t>
      </w:r>
      <w:r w:rsidR="00A52692" w:rsidRPr="00C10722">
        <w:rPr>
          <w:lang w:val="en-GB"/>
        </w:rPr>
        <w:t>T</w:t>
      </w:r>
      <w:r w:rsidRPr="00C10722">
        <w:rPr>
          <w:lang w:val="en-GB"/>
        </w:rPr>
        <w:t xml:space="preserve">he implementation of scientific criteria for the determination of endocrine-disrupting properties </w:t>
      </w:r>
      <w:r w:rsidR="00A227A9" w:rsidRPr="00C10722">
        <w:rPr>
          <w:lang w:val="en-GB"/>
        </w:rPr>
        <w:t xml:space="preserve">in the context of </w:t>
      </w:r>
      <w:r w:rsidRPr="00C10722">
        <w:rPr>
          <w:lang w:val="en-GB"/>
        </w:rPr>
        <w:t>biocidal product</w:t>
      </w:r>
      <w:r w:rsidR="00A227A9" w:rsidRPr="00C10722">
        <w:rPr>
          <w:lang w:val="en-GB"/>
        </w:rPr>
        <w:t xml:space="preserve"> authorisation</w:t>
      </w:r>
      <w:r w:rsidR="009B45B8" w:rsidRPr="00C10722">
        <w:rPr>
          <w:lang w:val="en-GB"/>
        </w:rPr>
        <w:t>'</w:t>
      </w:r>
      <w:r w:rsidRPr="00C10722">
        <w:rPr>
          <w:lang w:val="en-GB"/>
        </w:rPr>
        <w:t>.</w:t>
      </w:r>
    </w:p>
  </w:footnote>
  <w:footnote w:id="8">
    <w:p w14:paraId="58EAAC68" w14:textId="77777777" w:rsidR="0072785A" w:rsidRPr="0018232C" w:rsidRDefault="0072785A" w:rsidP="000A563C">
      <w:pPr>
        <w:pStyle w:val="FootnoteText"/>
        <w:spacing w:after="120"/>
        <w:ind w:left="284" w:hanging="284"/>
        <w:rPr>
          <w:lang w:val="en-US"/>
        </w:rPr>
      </w:pPr>
      <w:r>
        <w:rPr>
          <w:rStyle w:val="FootnoteReference"/>
        </w:rPr>
        <w:footnoteRef/>
      </w:r>
      <w:r>
        <w:t xml:space="preserve"> </w:t>
      </w:r>
      <w:r>
        <w:rPr>
          <w:lang w:val="en-GB"/>
        </w:rPr>
        <w:tab/>
      </w:r>
      <w:r>
        <w:rPr>
          <w:lang w:val="en-US"/>
        </w:rPr>
        <w:t>Point</w:t>
      </w:r>
      <w:r>
        <w:t xml:space="preserve"> 10 of Annex VI of the BPR specifies that in the case of biocidal products containing active substances meeting one of the exclusion criteria in Article 5(1), the competent authorities or the Commission shall also evaluate whether the conditions of Article 5(2) can be satisfied before deciding on authorising the product. </w:t>
      </w:r>
      <w:r>
        <w:rPr>
          <w:lang w:val="en-US"/>
        </w:rPr>
        <w:t xml:space="preserve">Point 48 of Annex VI (Common principles for the evaluation of dossiers for biocidal products) provides that the evaluation body shall conclude that the biocidal product does not comply with criterion (iv) under point (b) of Article 19(1) if it contains any substance […], or if it has endocrine-disrupting properties unless it is scientifically demonstrated that under relevant field conditions there is no unacceptable effect. </w:t>
      </w:r>
    </w:p>
  </w:footnote>
  <w:footnote w:id="9">
    <w:p w14:paraId="3DE4F06B" w14:textId="77777777" w:rsidR="00A227A9" w:rsidRPr="00302850" w:rsidRDefault="00A227A9" w:rsidP="00F753D2">
      <w:pPr>
        <w:pStyle w:val="FootnoteText"/>
        <w:spacing w:after="120"/>
        <w:ind w:left="284"/>
        <w:rPr>
          <w:lang w:val="en-GB"/>
        </w:rPr>
      </w:pPr>
      <w:r>
        <w:rPr>
          <w:rStyle w:val="FootnoteReference"/>
        </w:rPr>
        <w:footnoteRef/>
      </w:r>
      <w:r w:rsidRPr="00302850">
        <w:rPr>
          <w:lang w:val="en-GB"/>
        </w:rPr>
        <w:t xml:space="preserve"> </w:t>
      </w:r>
      <w:r w:rsidR="0037034E">
        <w:rPr>
          <w:lang w:val="en-GB"/>
        </w:rPr>
        <w:tab/>
      </w:r>
      <w:r>
        <w:rPr>
          <w:lang w:val="en-GB"/>
        </w:rPr>
        <w:t>The a</w:t>
      </w:r>
      <w:r w:rsidRPr="00302850">
        <w:rPr>
          <w:lang w:val="en-GB"/>
        </w:rPr>
        <w:t xml:space="preserve">pplicant </w:t>
      </w:r>
      <w:r>
        <w:rPr>
          <w:lang w:val="en-GB"/>
        </w:rPr>
        <w:t xml:space="preserve">may </w:t>
      </w:r>
      <w:r w:rsidRPr="00302850">
        <w:rPr>
          <w:lang w:val="en-GB"/>
        </w:rPr>
        <w:t xml:space="preserve">like to clarify the status of its active substance </w:t>
      </w:r>
      <w:r>
        <w:rPr>
          <w:lang w:val="en-GB"/>
        </w:rPr>
        <w:t xml:space="preserve">for ED properties as soon as possible in order to facilitate the authorisation of biocidal products containing the substance and/or to inform operators using the active substance in treated articles. </w:t>
      </w:r>
    </w:p>
  </w:footnote>
  <w:footnote w:id="10">
    <w:p w14:paraId="12E7FC29" w14:textId="20FD7B26" w:rsidR="0021354D" w:rsidRPr="0021354D" w:rsidRDefault="00011B2F" w:rsidP="0037034E">
      <w:pPr>
        <w:pStyle w:val="ListNumber"/>
        <w:numPr>
          <w:ilvl w:val="0"/>
          <w:numId w:val="0"/>
        </w:numPr>
        <w:ind w:left="284" w:hanging="284"/>
        <w:rPr>
          <w:sz w:val="20"/>
        </w:rPr>
      </w:pPr>
      <w:r w:rsidRPr="0037034E">
        <w:rPr>
          <w:rStyle w:val="FootnoteReference"/>
          <w:sz w:val="20"/>
        </w:rPr>
        <w:footnoteRef/>
      </w:r>
      <w:r w:rsidRPr="0037034E">
        <w:rPr>
          <w:sz w:val="20"/>
        </w:rPr>
        <w:t xml:space="preserve"> </w:t>
      </w:r>
      <w:r w:rsidR="0037034E">
        <w:rPr>
          <w:sz w:val="20"/>
        </w:rPr>
        <w:tab/>
      </w:r>
      <w:r w:rsidRPr="00695E5A">
        <w:rPr>
          <w:sz w:val="20"/>
        </w:rPr>
        <w:t>An active substance will be considered t</w:t>
      </w:r>
      <w:r w:rsidR="00547792">
        <w:rPr>
          <w:sz w:val="20"/>
        </w:rPr>
        <w:t xml:space="preserve">o have ED properties if it </w:t>
      </w:r>
      <w:r w:rsidR="004F1882">
        <w:rPr>
          <w:sz w:val="20"/>
        </w:rPr>
        <w:t>meets</w:t>
      </w:r>
      <w:r w:rsidRPr="00695E5A">
        <w:rPr>
          <w:sz w:val="20"/>
        </w:rPr>
        <w:t xml:space="preserve"> the scientific criteria </w:t>
      </w:r>
      <w:r w:rsidR="007C4447" w:rsidRPr="00C10722">
        <w:rPr>
          <w:sz w:val="20"/>
        </w:rPr>
        <w:t>according to Regulation (EU) No 2017/2100</w:t>
      </w:r>
      <w:r w:rsidRPr="00C10722">
        <w:rPr>
          <w:sz w:val="20"/>
        </w:rPr>
        <w:t xml:space="preserve">, and/or having ED properties </w:t>
      </w:r>
      <w:r w:rsidR="004F06C0" w:rsidRPr="00C10722">
        <w:rPr>
          <w:sz w:val="20"/>
        </w:rPr>
        <w:t xml:space="preserve">identified </w:t>
      </w:r>
      <w:r w:rsidRPr="00C10722">
        <w:rPr>
          <w:sz w:val="20"/>
        </w:rPr>
        <w:t>in accordance with Article 57(f) and 59(l) of Regulation (EC) No 1907/2006, and/or having intended biocidal mode of action that consists</w:t>
      </w:r>
      <w:r w:rsidRPr="00695E5A">
        <w:rPr>
          <w:sz w:val="20"/>
        </w:rPr>
        <w:t xml:space="preserve"> of controlling target organisms via their endocrine system(s</w:t>
      </w:r>
      <w:r w:rsidR="0021354D" w:rsidRPr="00695E5A">
        <w:rPr>
          <w:sz w:val="20"/>
        </w:rPr>
        <w:t>).</w:t>
      </w:r>
    </w:p>
    <w:p w14:paraId="68C168B7" w14:textId="77777777" w:rsidR="00011B2F" w:rsidRPr="004575BD" w:rsidRDefault="00011B2F">
      <w:pPr>
        <w:pStyle w:val="FootnoteText"/>
        <w:rPr>
          <w:lang w:val="en-GB"/>
        </w:rPr>
      </w:pPr>
    </w:p>
  </w:footnote>
  <w:footnote w:id="11">
    <w:p w14:paraId="5EDB1AAE" w14:textId="77777777" w:rsidR="002C682C" w:rsidRPr="006552F3" w:rsidRDefault="002C682C" w:rsidP="00112452">
      <w:pPr>
        <w:pStyle w:val="FootnoteText"/>
        <w:spacing w:after="120"/>
        <w:ind w:left="284" w:hanging="284"/>
        <w:rPr>
          <w:lang w:val="en-GB"/>
        </w:rPr>
      </w:pPr>
      <w:r>
        <w:rPr>
          <w:rStyle w:val="FootnoteReference"/>
        </w:rPr>
        <w:footnoteRef/>
      </w:r>
      <w:r>
        <w:t xml:space="preserve"> </w:t>
      </w:r>
      <w:r w:rsidR="00112452">
        <w:rPr>
          <w:lang w:val="en-GB"/>
        </w:rPr>
        <w:tab/>
      </w:r>
      <w:r w:rsidRPr="006552F3">
        <w:rPr>
          <w:lang w:val="en-GB"/>
        </w:rPr>
        <w:t xml:space="preserve">The </w:t>
      </w:r>
      <w:proofErr w:type="spellStart"/>
      <w:r w:rsidRPr="006552F3">
        <w:rPr>
          <w:lang w:val="en-GB"/>
        </w:rPr>
        <w:t>eCA</w:t>
      </w:r>
      <w:proofErr w:type="spellEnd"/>
      <w:r w:rsidRPr="006552F3">
        <w:rPr>
          <w:lang w:val="en-GB"/>
        </w:rPr>
        <w:t xml:space="preserve"> should set a reasonable time limit for the applicant to submit additional data on ED properties.</w:t>
      </w:r>
    </w:p>
  </w:footnote>
  <w:footnote w:id="12">
    <w:p w14:paraId="169B7C20" w14:textId="77777777" w:rsidR="00C35E90" w:rsidRPr="00C35E90" w:rsidRDefault="00C35E90" w:rsidP="00112452">
      <w:pPr>
        <w:pStyle w:val="FootnoteText"/>
        <w:spacing w:after="120"/>
        <w:ind w:left="284" w:hanging="284"/>
      </w:pPr>
      <w:r>
        <w:rPr>
          <w:rStyle w:val="FootnoteReference"/>
        </w:rPr>
        <w:footnoteRef/>
      </w:r>
      <w:r>
        <w:t xml:space="preserve"> </w:t>
      </w:r>
      <w:r w:rsidR="00112452">
        <w:rPr>
          <w:lang w:val="en-GB"/>
        </w:rPr>
        <w:tab/>
      </w:r>
      <w:r w:rsidRPr="004575BD">
        <w:rPr>
          <w:lang w:val="en-GB"/>
        </w:rPr>
        <w:t>T</w:t>
      </w:r>
      <w:r>
        <w:t>he conditions and regulatory consequences set out under Article 5(1) of the BPR do not apply to substances for which the assessment report was submitted before 1 September 2013</w:t>
      </w:r>
      <w:r w:rsidRPr="004575BD">
        <w:rPr>
          <w:lang w:val="en-GB"/>
        </w:rPr>
        <w:t>; please note that for the aut</w:t>
      </w:r>
      <w:r w:rsidR="00114B4B">
        <w:rPr>
          <w:lang w:val="en-GB"/>
        </w:rPr>
        <w:t>h</w:t>
      </w:r>
      <w:r w:rsidRPr="004575BD">
        <w:rPr>
          <w:lang w:val="en-GB"/>
        </w:rPr>
        <w:t xml:space="preserve">orisation of biocidal products </w:t>
      </w:r>
      <w:r w:rsidR="00114B4B" w:rsidRPr="00114B4B">
        <w:rPr>
          <w:lang w:val="en-GB"/>
        </w:rPr>
        <w:t xml:space="preserve">containing </w:t>
      </w:r>
      <w:r w:rsidR="00114B4B">
        <w:rPr>
          <w:lang w:val="en-GB"/>
        </w:rPr>
        <w:t>biocidal</w:t>
      </w:r>
      <w:r w:rsidR="00114B4B" w:rsidRPr="00114B4B">
        <w:rPr>
          <w:lang w:val="en-GB"/>
        </w:rPr>
        <w:t xml:space="preserve"> </w:t>
      </w:r>
      <w:r w:rsidR="00114B4B">
        <w:rPr>
          <w:lang w:val="en-GB"/>
        </w:rPr>
        <w:t>active substances for which the evaluation had been completed before 1 September 2013</w:t>
      </w:r>
      <w:r w:rsidR="00112452">
        <w:rPr>
          <w:lang w:val="en-GB"/>
        </w:rPr>
        <w:t xml:space="preserve"> </w:t>
      </w:r>
      <w:r w:rsidR="00112452" w:rsidRPr="00112452">
        <w:rPr>
          <w:lang w:val="en-GB"/>
        </w:rPr>
        <w:t>the BPR provisions apply</w:t>
      </w:r>
      <w:r w:rsidR="00114B4B">
        <w:rPr>
          <w:lang w:val="en-GB"/>
        </w:rPr>
        <w:t>.</w:t>
      </w:r>
      <w:r>
        <w:t xml:space="preserve"> </w:t>
      </w:r>
    </w:p>
  </w:footnote>
  <w:footnote w:id="13">
    <w:p w14:paraId="65F59537" w14:textId="5B85BCCD" w:rsidR="0072785A" w:rsidRPr="00E02E9E" w:rsidRDefault="0072785A" w:rsidP="00112452">
      <w:pPr>
        <w:pStyle w:val="FootnoteText"/>
        <w:spacing w:after="120"/>
        <w:ind w:left="284" w:hanging="284"/>
        <w:rPr>
          <w:lang w:val="en-US"/>
        </w:rPr>
      </w:pPr>
      <w:r>
        <w:rPr>
          <w:rStyle w:val="FootnoteReference"/>
        </w:rPr>
        <w:footnoteRef/>
      </w:r>
      <w:r>
        <w:t xml:space="preserve"> </w:t>
      </w:r>
      <w:r w:rsidR="00112452">
        <w:rPr>
          <w:lang w:val="en-GB"/>
        </w:rPr>
        <w:tab/>
      </w:r>
      <w:r>
        <w:rPr>
          <w:lang w:val="en-US"/>
        </w:rPr>
        <w:t>In the</w:t>
      </w:r>
      <w:r w:rsidR="009B45B8">
        <w:rPr>
          <w:lang w:val="en-US"/>
        </w:rPr>
        <w:t xml:space="preserve"> </w:t>
      </w:r>
      <w:r w:rsidR="00D90B9E">
        <w:rPr>
          <w:lang w:val="en-US"/>
        </w:rPr>
        <w:t>R</w:t>
      </w:r>
      <w:proofErr w:type="spellStart"/>
      <w:r w:rsidR="00D90B9E">
        <w:t>egulation</w:t>
      </w:r>
      <w:proofErr w:type="spellEnd"/>
      <w:r w:rsidR="00D90B9E">
        <w:t xml:space="preserve"> (EU) No 2017/2100 </w:t>
      </w:r>
      <w:r>
        <w:rPr>
          <w:lang w:val="en-US"/>
        </w:rPr>
        <w:t xml:space="preserve"> it is specified that the scientific criteria apply for all on-going procedures </w:t>
      </w:r>
      <w:r w:rsidR="0021354D">
        <w:rPr>
          <w:lang w:val="en-US"/>
        </w:rPr>
        <w:t>as of from 7 June 2018</w:t>
      </w:r>
      <w:r>
        <w:rPr>
          <w:lang w:val="en-US"/>
        </w:rPr>
        <w:t xml:space="preserve"> with the exception for substances for which the Standing Committee voted. </w:t>
      </w:r>
    </w:p>
  </w:footnote>
  <w:footnote w:id="14">
    <w:p w14:paraId="196A44A9" w14:textId="4E53DFA6" w:rsidR="002D5FB6" w:rsidRPr="003166BA" w:rsidRDefault="002D5FB6" w:rsidP="004945B3">
      <w:pPr>
        <w:pStyle w:val="FootnoteText"/>
        <w:rPr>
          <w:lang w:val="en-GB"/>
        </w:rPr>
      </w:pPr>
      <w:r>
        <w:rPr>
          <w:rStyle w:val="FootnoteReference"/>
        </w:rPr>
        <w:footnoteRef/>
      </w:r>
      <w:r>
        <w:t xml:space="preserve"> </w:t>
      </w:r>
      <w:r w:rsidRPr="003166BA">
        <w:rPr>
          <w:lang w:val="en-GB"/>
        </w:rPr>
        <w:t xml:space="preserve"> See footnote </w:t>
      </w:r>
      <w:r w:rsidR="003166BA">
        <w:rPr>
          <w:lang w:val="en-GB"/>
        </w:rPr>
        <w:t>9</w:t>
      </w:r>
      <w:r w:rsidRPr="003166BA">
        <w:rPr>
          <w:lang w:val="en-GB"/>
        </w:rPr>
        <w:t xml:space="preserve"> for</w:t>
      </w:r>
      <w:r w:rsidR="004945B3">
        <w:rPr>
          <w:lang w:val="en-GB"/>
        </w:rPr>
        <w:t xml:space="preserve"> the details of the cases </w:t>
      </w:r>
      <w:r w:rsidR="004F1882">
        <w:rPr>
          <w:lang w:val="en-GB"/>
        </w:rPr>
        <w:t xml:space="preserve">where </w:t>
      </w:r>
      <w:r w:rsidRPr="003166BA">
        <w:rPr>
          <w:lang w:val="en-GB"/>
        </w:rPr>
        <w:t xml:space="preserve"> an active substance </w:t>
      </w:r>
      <w:r w:rsidR="003518DD">
        <w:rPr>
          <w:lang w:val="en-GB"/>
        </w:rPr>
        <w:t xml:space="preserve">should </w:t>
      </w:r>
      <w:r w:rsidRPr="003166BA">
        <w:rPr>
          <w:lang w:val="en-GB"/>
        </w:rPr>
        <w:t>be considered to have ED properties.</w:t>
      </w:r>
    </w:p>
  </w:footnote>
  <w:footnote w:id="15">
    <w:p w14:paraId="1CD8CD88" w14:textId="77777777" w:rsidR="0072785A" w:rsidRPr="003D3736" w:rsidRDefault="0072785A" w:rsidP="00112452">
      <w:pPr>
        <w:ind w:left="284" w:hanging="284"/>
      </w:pPr>
      <w:r w:rsidRPr="00112452">
        <w:rPr>
          <w:rStyle w:val="FootnoteReference"/>
          <w:sz w:val="20"/>
        </w:rPr>
        <w:footnoteRef/>
      </w:r>
      <w:r w:rsidRPr="00695E5A">
        <w:t xml:space="preserve"> </w:t>
      </w:r>
      <w:r w:rsidR="00112452">
        <w:tab/>
      </w:r>
      <w:r w:rsidR="00327CE3" w:rsidRPr="00327CE3">
        <w:rPr>
          <w:sz w:val="20"/>
        </w:rPr>
        <w:t xml:space="preserve">The BPR </w:t>
      </w:r>
      <w:r w:rsidR="00A227A9">
        <w:rPr>
          <w:sz w:val="20"/>
        </w:rPr>
        <w:t xml:space="preserve">specifies </w:t>
      </w:r>
      <w:r w:rsidR="00327CE3" w:rsidRPr="00327CE3">
        <w:rPr>
          <w:sz w:val="20"/>
        </w:rPr>
        <w:t>that "</w:t>
      </w:r>
      <w:r w:rsidR="00327CE3" w:rsidRPr="00327CE3">
        <w:rPr>
          <w:i/>
          <w:sz w:val="20"/>
        </w:rPr>
        <w:t>however, sufficient data shall be provided in order to make it possible to determine whether an active substance meets the criteria referred to in Article 5(1) or Article 10(1)</w:t>
      </w:r>
      <w:r w:rsidR="00327CE3" w:rsidRPr="00327CE3">
        <w:rPr>
          <w:sz w:val="20"/>
        </w:rPr>
        <w:t>" (Article 6(2)), and that "</w:t>
      </w:r>
      <w:r w:rsidR="00327CE3" w:rsidRPr="00327CE3">
        <w:rPr>
          <w:i/>
          <w:sz w:val="20"/>
        </w:rPr>
        <w:t>the evaluating competent authority may, as appropriate, require the applicant to provide sufficient data to permit a determination of whether an active substance meets the criteria referred to in Article 5(1) or Article 10(1)</w:t>
      </w:r>
      <w:r w:rsidR="00327CE3" w:rsidRPr="00327CE3">
        <w:rPr>
          <w:sz w:val="20"/>
        </w:rPr>
        <w:t>" (Article 8(2)). In addition, "</w:t>
      </w:r>
      <w:r w:rsidR="00327CE3" w:rsidRPr="00327CE3">
        <w:rPr>
          <w:i/>
          <w:sz w:val="20"/>
        </w:rPr>
        <w:t>the information submitted shall, in any case, be sufficient to support a risk assessment demonstrating that the criteria referred to in Article 4(1) are met</w:t>
      </w:r>
      <w:r w:rsidR="00327CE3" w:rsidRPr="00327CE3">
        <w:rPr>
          <w:sz w:val="20"/>
        </w:rPr>
        <w:t>"(Annex II</w:t>
      </w:r>
      <w:r w:rsidR="00736994">
        <w:rPr>
          <w:sz w:val="20"/>
        </w:rPr>
        <w:t xml:space="preserve"> of the BPR</w:t>
      </w:r>
      <w:r w:rsidR="00327CE3" w:rsidRPr="00327CE3">
        <w:rPr>
          <w:sz w:val="20"/>
        </w:rPr>
        <w:t>, paragraph 2).</w:t>
      </w:r>
      <w:r w:rsidR="00327CE3">
        <w:t xml:space="preserve"> </w:t>
      </w:r>
      <w:r w:rsidRPr="003D3736">
        <w:t xml:space="preserve"> </w:t>
      </w:r>
    </w:p>
  </w:footnote>
  <w:footnote w:id="16">
    <w:p w14:paraId="44518E7B" w14:textId="77777777" w:rsidR="000B6E26" w:rsidRPr="00200EFD" w:rsidRDefault="000B6E26" w:rsidP="000B6E26">
      <w:pPr>
        <w:pStyle w:val="FootnoteText"/>
      </w:pPr>
      <w:r>
        <w:rPr>
          <w:rStyle w:val="FootnoteReference"/>
        </w:rPr>
        <w:footnoteRef/>
      </w:r>
      <w:r>
        <w:t xml:space="preserve"> </w:t>
      </w:r>
      <w:r w:rsidR="00112452">
        <w:rPr>
          <w:lang w:val="en-GB"/>
        </w:rPr>
        <w:tab/>
      </w:r>
      <w:r>
        <w:t xml:space="preserve">In accordance with Article 6(5) of the Review Regulation (EU) No 1062/2014 for existing </w:t>
      </w:r>
      <w:r w:rsidRPr="000B6E26">
        <w:rPr>
          <w:lang w:val="en-GB"/>
        </w:rPr>
        <w:t>active substances</w:t>
      </w:r>
      <w:r>
        <w:t xml:space="preserve"> in the review programme, or with Article 8(2) of the BPR for other active substances.</w:t>
      </w:r>
    </w:p>
  </w:footnote>
  <w:footnote w:id="17">
    <w:p w14:paraId="07D3E7BE" w14:textId="77777777" w:rsidR="0072785A" w:rsidRPr="00504D8C" w:rsidRDefault="0072785A">
      <w:pPr>
        <w:pStyle w:val="FootnoteText"/>
        <w:rPr>
          <w:lang w:val="en-GB"/>
        </w:rPr>
      </w:pPr>
      <w:r>
        <w:rPr>
          <w:rStyle w:val="FootnoteReference"/>
        </w:rPr>
        <w:footnoteRef/>
      </w:r>
      <w:r>
        <w:t xml:space="preserve"> </w:t>
      </w:r>
      <w:r w:rsidR="00112452">
        <w:rPr>
          <w:lang w:val="en-GB"/>
        </w:rPr>
        <w:tab/>
      </w:r>
      <w:r w:rsidR="00E81327" w:rsidRPr="00E81327">
        <w:rPr>
          <w:lang w:val="en-GB"/>
        </w:rPr>
        <w:t xml:space="preserve">The </w:t>
      </w:r>
      <w:proofErr w:type="spellStart"/>
      <w:r w:rsidR="00E81327" w:rsidRPr="00E81327">
        <w:rPr>
          <w:lang w:val="en-GB"/>
        </w:rPr>
        <w:t>eCA</w:t>
      </w:r>
      <w:proofErr w:type="spellEnd"/>
      <w:r w:rsidR="00E81327" w:rsidRPr="00E81327">
        <w:rPr>
          <w:lang w:val="en-GB"/>
        </w:rPr>
        <w:t xml:space="preserve"> sh</w:t>
      </w:r>
      <w:r w:rsidR="00736994">
        <w:rPr>
          <w:lang w:val="en-GB"/>
        </w:rPr>
        <w:t>ould</w:t>
      </w:r>
      <w:r w:rsidR="00E81327" w:rsidRPr="00E81327">
        <w:rPr>
          <w:lang w:val="en-GB"/>
        </w:rPr>
        <w:t xml:space="preserve"> co-ordinate with ECHA the timing of the i</w:t>
      </w:r>
      <w:r w:rsidR="00E81327">
        <w:rPr>
          <w:lang w:val="en-GB"/>
        </w:rPr>
        <w:t xml:space="preserve">nvolvement of the ED Expert Group in order to minimise the impact </w:t>
      </w:r>
      <w:r w:rsidR="00EB4690">
        <w:rPr>
          <w:lang w:val="en-GB"/>
        </w:rPr>
        <w:t xml:space="preserve">on the evaluation or peer review process. </w:t>
      </w:r>
    </w:p>
  </w:footnote>
  <w:footnote w:id="18">
    <w:p w14:paraId="676E1C71" w14:textId="77777777" w:rsidR="002C1032" w:rsidRPr="002C1032" w:rsidRDefault="002C1032">
      <w:pPr>
        <w:pStyle w:val="FootnoteText"/>
        <w:rPr>
          <w:lang w:val="en-GB"/>
        </w:rPr>
      </w:pPr>
      <w:r>
        <w:rPr>
          <w:rStyle w:val="FootnoteReference"/>
        </w:rPr>
        <w:footnoteRef/>
      </w:r>
      <w:r>
        <w:t xml:space="preserve"> </w:t>
      </w:r>
      <w:r w:rsidR="00112452">
        <w:rPr>
          <w:lang w:val="en-GB"/>
        </w:rPr>
        <w:tab/>
      </w:r>
      <w:r>
        <w:rPr>
          <w:lang w:val="en-GB"/>
        </w:rPr>
        <w:t xml:space="preserve">The exclusion criteria apply for a substance identified as having ED properties based on </w:t>
      </w:r>
      <w:r w:rsidRPr="004D7673">
        <w:t>Articles 57(f) and 59(1) of Regulation (EC) No 1907/2006</w:t>
      </w:r>
      <w:r>
        <w:rPr>
          <w:lang w:val="en-GB"/>
        </w:rPr>
        <w:t>.</w:t>
      </w:r>
    </w:p>
  </w:footnote>
  <w:footnote w:id="19">
    <w:p w14:paraId="064612A4" w14:textId="7880DE43" w:rsidR="00F2417C" w:rsidRPr="00F2417C" w:rsidRDefault="00F2417C" w:rsidP="007B7865">
      <w:pPr>
        <w:pStyle w:val="FootnoteText"/>
        <w:spacing w:after="120"/>
        <w:rPr>
          <w:lang w:val="en-GB"/>
        </w:rPr>
      </w:pPr>
      <w:r>
        <w:rPr>
          <w:rStyle w:val="FootnoteReference"/>
        </w:rPr>
        <w:footnoteRef/>
      </w:r>
      <w:r>
        <w:t xml:space="preserve"> </w:t>
      </w:r>
      <w:r w:rsidR="007B7865">
        <w:rPr>
          <w:lang w:val="en-GB"/>
        </w:rPr>
        <w:tab/>
      </w:r>
      <w:r w:rsidRPr="00F2417C">
        <w:rPr>
          <w:lang w:val="en-GB"/>
        </w:rPr>
        <w:t xml:space="preserve">For further details </w:t>
      </w:r>
      <w:r w:rsidRPr="009A1563">
        <w:rPr>
          <w:lang w:val="en-GB"/>
        </w:rPr>
        <w:t xml:space="preserve">see </w:t>
      </w:r>
      <w:r w:rsidRPr="00C10722">
        <w:rPr>
          <w:lang w:val="en-GB"/>
        </w:rPr>
        <w:t xml:space="preserve">paragraph </w:t>
      </w:r>
      <w:r w:rsidR="001D1413" w:rsidRPr="00C10722">
        <w:rPr>
          <w:lang w:val="en-GB"/>
        </w:rPr>
        <w:t>11</w:t>
      </w:r>
      <w:r w:rsidR="001D1413" w:rsidRPr="00F2417C">
        <w:rPr>
          <w:lang w:val="en-GB"/>
        </w:rPr>
        <w:t xml:space="preserve"> </w:t>
      </w:r>
      <w:r w:rsidRPr="00F2417C">
        <w:rPr>
          <w:lang w:val="en-GB"/>
        </w:rPr>
        <w:t>of this note.</w:t>
      </w:r>
    </w:p>
  </w:footnote>
  <w:footnote w:id="20">
    <w:p w14:paraId="4945CD28" w14:textId="77777777" w:rsidR="00010B56" w:rsidRPr="001C7495" w:rsidRDefault="00010B56" w:rsidP="007B7865">
      <w:pPr>
        <w:pStyle w:val="FootnoteText"/>
        <w:spacing w:after="120"/>
        <w:rPr>
          <w:lang w:val="en-GB"/>
        </w:rPr>
      </w:pPr>
      <w:r>
        <w:rPr>
          <w:rStyle w:val="FootnoteReference"/>
        </w:rPr>
        <w:footnoteRef/>
      </w:r>
      <w:r>
        <w:t xml:space="preserve"> </w:t>
      </w:r>
      <w:r w:rsidR="007B7865">
        <w:rPr>
          <w:lang w:val="en-GB"/>
        </w:rPr>
        <w:tab/>
      </w:r>
      <w:r w:rsidR="00302E09" w:rsidRPr="001C7495">
        <w:rPr>
          <w:lang w:val="en-GB"/>
        </w:rPr>
        <w:t>This approach is consistent with the objective of the BPR of ensuring a high level of protection of both human and animal health and the environment</w:t>
      </w:r>
      <w:r w:rsidR="007B7865">
        <w:rPr>
          <w:lang w:val="en-GB"/>
        </w:rPr>
        <w:t>,</w:t>
      </w:r>
      <w:r w:rsidR="00302E09" w:rsidRPr="001C7495">
        <w:rPr>
          <w:lang w:val="en-GB"/>
        </w:rPr>
        <w:t xml:space="preserve"> as it prevents that biocidal products containing an active substance </w:t>
      </w:r>
      <w:r w:rsidR="00302E09">
        <w:rPr>
          <w:lang w:val="en-GB"/>
        </w:rPr>
        <w:t xml:space="preserve">included in the review programme and having </w:t>
      </w:r>
      <w:r w:rsidR="00302E09" w:rsidRPr="001C7495">
        <w:rPr>
          <w:lang w:val="en-GB"/>
        </w:rPr>
        <w:t>a high concern</w:t>
      </w:r>
      <w:r w:rsidR="00302E09">
        <w:rPr>
          <w:lang w:val="en-GB"/>
        </w:rPr>
        <w:t>, may remain available on the EU market during</w:t>
      </w:r>
      <w:r w:rsidR="00302E09" w:rsidRPr="001C7495">
        <w:rPr>
          <w:lang w:val="en-GB"/>
        </w:rPr>
        <w:t xml:space="preserve"> </w:t>
      </w:r>
      <w:r w:rsidR="00302E09">
        <w:rPr>
          <w:lang w:val="en-GB"/>
        </w:rPr>
        <w:t xml:space="preserve">the period required to determine whether the active substance may have ED properties. </w:t>
      </w:r>
      <w:r w:rsidR="00847D94">
        <w:rPr>
          <w:lang w:val="en-GB"/>
        </w:rPr>
        <w:t>However, t</w:t>
      </w:r>
      <w:r>
        <w:rPr>
          <w:lang w:val="en-GB"/>
        </w:rPr>
        <w:t>he opinion with a non-approval has to be returned to ECHA</w:t>
      </w:r>
      <w:r w:rsidR="001B3AAF">
        <w:rPr>
          <w:lang w:val="en-GB"/>
        </w:rPr>
        <w:t xml:space="preserve"> for determining the ED properties</w:t>
      </w:r>
      <w:r>
        <w:rPr>
          <w:lang w:val="en-GB"/>
        </w:rPr>
        <w:t xml:space="preserve"> if the Standing Committee has the intention to decide that one of the conditions in Article 5(2) is met and the active substance may be approved subject to mitigation measures.</w:t>
      </w:r>
    </w:p>
  </w:footnote>
  <w:footnote w:id="21">
    <w:p w14:paraId="15DC5E7C" w14:textId="77777777" w:rsidR="00A227A9" w:rsidRPr="00AC6055" w:rsidRDefault="00A227A9" w:rsidP="00A227A9">
      <w:pPr>
        <w:pStyle w:val="FootnoteText"/>
        <w:rPr>
          <w:lang w:val="en-GB"/>
        </w:rPr>
      </w:pPr>
      <w:r>
        <w:rPr>
          <w:rStyle w:val="FootnoteReference"/>
        </w:rPr>
        <w:footnoteRef/>
      </w:r>
      <w:r>
        <w:t xml:space="preserve"> </w:t>
      </w:r>
      <w:r w:rsidR="007B7865">
        <w:rPr>
          <w:lang w:val="en-GB"/>
        </w:rPr>
        <w:tab/>
      </w:r>
      <w:r w:rsidRPr="00504D8C">
        <w:rPr>
          <w:lang w:val="en-GB"/>
        </w:rPr>
        <w:t xml:space="preserve">Annex II provides information requirements for active substances; </w:t>
      </w:r>
      <w:r>
        <w:rPr>
          <w:lang w:val="en-GB"/>
        </w:rPr>
        <w:t xml:space="preserve">Annex IV provides general rules for the adaptation of the data requirements; for example, it </w:t>
      </w:r>
      <w:r w:rsidRPr="001866B0">
        <w:rPr>
          <w:lang w:val="en-GB"/>
        </w:rPr>
        <w:t xml:space="preserve">specifies </w:t>
      </w:r>
      <w:r>
        <w:rPr>
          <w:lang w:val="en-GB"/>
        </w:rPr>
        <w:t xml:space="preserve">when </w:t>
      </w:r>
      <w:r w:rsidRPr="001866B0">
        <w:rPr>
          <w:lang w:val="en-GB"/>
        </w:rPr>
        <w:t xml:space="preserve">the </w:t>
      </w:r>
      <w:r>
        <w:rPr>
          <w:lang w:val="en-GB"/>
        </w:rPr>
        <w:t xml:space="preserve">results </w:t>
      </w:r>
      <w:r w:rsidRPr="001866B0">
        <w:rPr>
          <w:lang w:val="en-GB"/>
        </w:rPr>
        <w:t>of (Q)SAR models and read-across approach</w:t>
      </w:r>
      <w:r>
        <w:rPr>
          <w:lang w:val="en-GB"/>
        </w:rPr>
        <w:t xml:space="preserve"> may be used instead of testing data.</w:t>
      </w:r>
    </w:p>
  </w:footnote>
  <w:footnote w:id="22">
    <w:p w14:paraId="4221848D" w14:textId="030D0E76" w:rsidR="00A227A9" w:rsidRPr="003D3736" w:rsidRDefault="00A227A9" w:rsidP="00A227A9">
      <w:pPr>
        <w:pStyle w:val="FootnoteText"/>
        <w:rPr>
          <w:lang w:val="en-GB"/>
        </w:rPr>
      </w:pPr>
      <w:r>
        <w:rPr>
          <w:rStyle w:val="FootnoteReference"/>
        </w:rPr>
        <w:footnoteRef/>
      </w:r>
      <w:r>
        <w:t xml:space="preserve"> </w:t>
      </w:r>
      <w:r w:rsidR="008D5ABE">
        <w:rPr>
          <w:lang w:val="en-GB"/>
        </w:rPr>
        <w:tab/>
      </w:r>
      <w:r w:rsidRPr="003D3736">
        <w:rPr>
          <w:lang w:val="en-GB"/>
        </w:rPr>
        <w:t xml:space="preserve">For example, if the </w:t>
      </w:r>
      <w:proofErr w:type="spellStart"/>
      <w:r w:rsidRPr="003D3736">
        <w:rPr>
          <w:lang w:val="en-GB"/>
        </w:rPr>
        <w:t>eCA</w:t>
      </w:r>
      <w:proofErr w:type="spellEnd"/>
      <w:r w:rsidRPr="003D3736">
        <w:rPr>
          <w:lang w:val="en-GB"/>
        </w:rPr>
        <w:t xml:space="preserve"> will conclude in its assessment report to have a non-approval of the active substance or it meets the criteria for exclusion in Article 5(1) because of non-ED properties, it is for the protection of health and the environment better not to delay the </w:t>
      </w:r>
      <w:r w:rsidR="00C031D8" w:rsidRPr="00C10722">
        <w:rPr>
          <w:lang w:val="en-GB"/>
        </w:rPr>
        <w:t>non-</w:t>
      </w:r>
      <w:r w:rsidRPr="00C10722">
        <w:rPr>
          <w:lang w:val="en-GB"/>
        </w:rPr>
        <w:t>approval process</w:t>
      </w:r>
      <w:r w:rsidRPr="003D3736">
        <w:rPr>
          <w:lang w:val="en-GB"/>
        </w:rPr>
        <w:t xml:space="preserve"> by asking data to determine ED properties. </w:t>
      </w:r>
    </w:p>
  </w:footnote>
  <w:footnote w:id="23">
    <w:p w14:paraId="1AE6F655" w14:textId="77777777" w:rsidR="0072785A" w:rsidRPr="001F5913" w:rsidRDefault="0072785A" w:rsidP="00C331C9">
      <w:pPr>
        <w:pStyle w:val="FootnoteText"/>
        <w:rPr>
          <w:lang w:val="en-GB"/>
        </w:rPr>
      </w:pPr>
      <w:r>
        <w:rPr>
          <w:rStyle w:val="FootnoteReference"/>
        </w:rPr>
        <w:footnoteRef/>
      </w:r>
      <w:r>
        <w:t xml:space="preserve"> </w:t>
      </w:r>
      <w:r w:rsidR="008D5ABE">
        <w:rPr>
          <w:lang w:val="en-GB"/>
        </w:rPr>
        <w:tab/>
      </w:r>
      <w:r w:rsidRPr="00C17CCB">
        <w:rPr>
          <w:lang w:val="en-GB"/>
        </w:rPr>
        <w:t>Regulation (EC) No 1107/2009 of the European Parliament and of the Council of 21 October 2009 concerning the placing of plant protection products on the market and repealing Council Directive 79/117/EEC and 91/114/EEC.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C197" w14:textId="3552D73C" w:rsidR="00DF0D20" w:rsidRDefault="00DF0D20">
    <w:pPr>
      <w:pStyle w:val="Header"/>
    </w:pPr>
    <w:r>
      <w:ptab w:relativeTo="margin" w:alignment="center" w:leader="none"/>
    </w:r>
  </w:p>
  <w:p w14:paraId="0F2F5F80" w14:textId="77777777" w:rsidR="00DF0D20" w:rsidRDefault="00DF0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1C264" w14:textId="791801EE" w:rsidR="0072785A" w:rsidRPr="00172340" w:rsidRDefault="0072785A" w:rsidP="00117EBB">
    <w:pPr>
      <w:pStyle w:val="Header"/>
      <w:jc w:val="center"/>
    </w:pPr>
    <w:r>
      <w:ptab w:relativeTo="margin" w:alignment="center" w:leader="none"/>
    </w:r>
    <w:r>
      <w:ptab w:relativeTo="margin" w:alignment="right" w:leader="none"/>
    </w:r>
    <w:r w:rsidR="00B51C3C">
      <w:t>CA-</w:t>
    </w:r>
    <w:r w:rsidR="007654B6">
      <w:t>March</w:t>
    </w:r>
    <w:r w:rsidR="00117EBB">
      <w:t>1</w:t>
    </w:r>
    <w:r w:rsidR="001C0114">
      <w:t>8</w:t>
    </w:r>
    <w:r w:rsidR="00117EBB">
      <w:t>.Doc.7.</w:t>
    </w:r>
    <w:r w:rsidR="005966CB">
      <w:t>3.</w:t>
    </w:r>
    <w:r w:rsidR="007654B6">
      <w:t>a</w:t>
    </w:r>
    <w:r w:rsidR="00B0297B">
      <w:t>- 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8"/>
    <w:multiLevelType w:val="singleLevel"/>
    <w:tmpl w:val="C6E82A76"/>
    <w:lvl w:ilvl="0">
      <w:start w:val="1"/>
      <w:numFmt w:val="decimal"/>
      <w:lvlText w:val="%1."/>
      <w:lvlJc w:val="left"/>
      <w:pPr>
        <w:tabs>
          <w:tab w:val="num" w:pos="360"/>
        </w:tabs>
        <w:ind w:left="360" w:hanging="360"/>
      </w:pPr>
    </w:lvl>
  </w:abstractNum>
  <w:abstractNum w:abstractNumId="3">
    <w:nsid w:val="0000000C"/>
    <w:multiLevelType w:val="singleLevel"/>
    <w:tmpl w:val="0000000C"/>
    <w:name w:val="WW8Num13"/>
    <w:lvl w:ilvl="0">
      <w:start w:val="1"/>
      <w:numFmt w:val="bullet"/>
      <w:lvlText w:val=""/>
      <w:lvlJc w:val="left"/>
      <w:pPr>
        <w:tabs>
          <w:tab w:val="num" w:pos="765"/>
        </w:tabs>
        <w:ind w:left="765" w:hanging="283"/>
      </w:pPr>
      <w:rPr>
        <w:rFonts w:ascii="Symbol" w:hAnsi="Symbol"/>
      </w:rPr>
    </w:lvl>
  </w:abstractNum>
  <w:abstractNum w:abstractNumId="4">
    <w:nsid w:val="004515AE"/>
    <w:multiLevelType w:val="multilevel"/>
    <w:tmpl w:val="E1EE116A"/>
    <w:lvl w:ilvl="0">
      <w:start w:val="2"/>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5">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8D174B1"/>
    <w:multiLevelType w:val="hybridMultilevel"/>
    <w:tmpl w:val="055260B4"/>
    <w:lvl w:ilvl="0" w:tplc="0809000F">
      <w:start w:val="1"/>
      <w:numFmt w:val="decimal"/>
      <w:lvlText w:val="%1."/>
      <w:lvlJc w:val="left"/>
      <w:pPr>
        <w:ind w:left="720" w:hanging="360"/>
      </w:pPr>
    </w:lvl>
    <w:lvl w:ilvl="1" w:tplc="53183364">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A46C02"/>
    <w:multiLevelType w:val="singleLevel"/>
    <w:tmpl w:val="A4BA1AF0"/>
    <w:name w:val="Tiret 3"/>
    <w:lvl w:ilvl="0">
      <w:start w:val="1"/>
      <w:numFmt w:val="bullet"/>
      <w:lvlRestart w:val="0"/>
      <w:pStyle w:val="Tiret0"/>
      <w:lvlText w:val="–"/>
      <w:lvlJc w:val="left"/>
      <w:pPr>
        <w:tabs>
          <w:tab w:val="num" w:pos="850"/>
        </w:tabs>
        <w:ind w:left="850" w:hanging="850"/>
      </w:pPr>
    </w:lvl>
  </w:abstractNum>
  <w:abstractNum w:abstractNumId="8">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9">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nsid w:val="1A9E655D"/>
    <w:multiLevelType w:val="multilevel"/>
    <w:tmpl w:val="82CA2100"/>
    <w:lvl w:ilvl="0">
      <w:start w:val="1"/>
      <w:numFmt w:val="decimal"/>
      <w:pStyle w:val="ListNumber"/>
      <w:lvlText w:val="(%1)"/>
      <w:lvlJc w:val="left"/>
      <w:pPr>
        <w:tabs>
          <w:tab w:val="num" w:pos="709"/>
        </w:tabs>
        <w:ind w:left="709" w:hanging="709"/>
      </w:pPr>
      <w:rPr>
        <w:rFonts w:hint="default"/>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334383E"/>
    <w:multiLevelType w:val="hybridMultilevel"/>
    <w:tmpl w:val="A13E7294"/>
    <w:lvl w:ilvl="0" w:tplc="0C0A000F">
      <w:start w:val="1"/>
      <w:numFmt w:val="decimal"/>
      <w:lvlText w:val="%1."/>
      <w:lvlJc w:val="left"/>
      <w:pPr>
        <w:ind w:left="1200" w:hanging="360"/>
      </w:p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12">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nsid w:val="262A6334"/>
    <w:multiLevelType w:val="hybridMultilevel"/>
    <w:tmpl w:val="2B12CA3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nsid w:val="2D001D56"/>
    <w:multiLevelType w:val="multilevel"/>
    <w:tmpl w:val="5F1AD740"/>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7">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432656"/>
    <w:multiLevelType w:val="multilevel"/>
    <w:tmpl w:val="AC885D7A"/>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B01038"/>
    <w:multiLevelType w:val="singleLevel"/>
    <w:tmpl w:val="EA848EBE"/>
    <w:lvl w:ilvl="0">
      <w:start w:val="1"/>
      <w:numFmt w:val="bullet"/>
      <w:lvlRestart w:val="0"/>
      <w:pStyle w:val="Tiret4"/>
      <w:lvlText w:val="–"/>
      <w:lvlJc w:val="left"/>
      <w:pPr>
        <w:tabs>
          <w:tab w:val="num" w:pos="3118"/>
        </w:tabs>
        <w:ind w:left="3118" w:hanging="567"/>
      </w:pPr>
    </w:lvl>
  </w:abstractNum>
  <w:abstractNum w:abstractNumId="22">
    <w:nsid w:val="4FC5055E"/>
    <w:multiLevelType w:val="hybridMultilevel"/>
    <w:tmpl w:val="A4ECA544"/>
    <w:lvl w:ilvl="0" w:tplc="F44A8256">
      <w:numFmt w:val="bullet"/>
      <w:lvlText w:val="-"/>
      <w:lvlJc w:val="left"/>
      <w:pPr>
        <w:ind w:left="1777" w:hanging="360"/>
      </w:pPr>
      <w:rPr>
        <w:rFonts w:ascii="Times New Roman" w:eastAsia="Times New Roman" w:hAnsi="Times New Roman" w:cs="Times New Roman"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23">
    <w:nsid w:val="54BD0BEC"/>
    <w:multiLevelType w:val="singleLevel"/>
    <w:tmpl w:val="72D6F376"/>
    <w:name w:val="Considérant"/>
    <w:lvl w:ilvl="0">
      <w:start w:val="1"/>
      <w:numFmt w:val="bullet"/>
      <w:pStyle w:val="ListBullet"/>
      <w:lvlText w:val=""/>
      <w:lvlJc w:val="left"/>
      <w:pPr>
        <w:tabs>
          <w:tab w:val="num" w:pos="283"/>
        </w:tabs>
        <w:ind w:left="283" w:hanging="283"/>
      </w:pPr>
      <w:rPr>
        <w:rFonts w:ascii="Symbol" w:hAnsi="Symbol"/>
      </w:rPr>
    </w:lvl>
  </w:abstractNum>
  <w:abstractNum w:abstractNumId="24">
    <w:nsid w:val="57244801"/>
    <w:multiLevelType w:val="hybridMultilevel"/>
    <w:tmpl w:val="EFECBD3A"/>
    <w:lvl w:ilvl="0" w:tplc="8F505774">
      <w:start w:val="1"/>
      <w:numFmt w:val="decimal"/>
      <w:lvlText w:val="%1."/>
      <w:lvlJc w:val="left"/>
      <w:pPr>
        <w:ind w:left="720" w:hanging="360"/>
      </w:pPr>
    </w:lvl>
    <w:lvl w:ilvl="1" w:tplc="5A5022E0">
      <w:start w:val="1"/>
      <w:numFmt w:val="lowerLetter"/>
      <w:lvlText w:val="%2."/>
      <w:lvlJc w:val="left"/>
      <w:pPr>
        <w:ind w:left="1440" w:hanging="360"/>
      </w:pPr>
    </w:lvl>
    <w:lvl w:ilvl="2" w:tplc="6FE0810E" w:tentative="1">
      <w:start w:val="1"/>
      <w:numFmt w:val="lowerRoman"/>
      <w:lvlText w:val="%3."/>
      <w:lvlJc w:val="right"/>
      <w:pPr>
        <w:ind w:left="2160" w:hanging="180"/>
      </w:pPr>
    </w:lvl>
    <w:lvl w:ilvl="3" w:tplc="87A676B4" w:tentative="1">
      <w:start w:val="1"/>
      <w:numFmt w:val="decimal"/>
      <w:lvlText w:val="%4."/>
      <w:lvlJc w:val="left"/>
      <w:pPr>
        <w:ind w:left="2880" w:hanging="360"/>
      </w:pPr>
    </w:lvl>
    <w:lvl w:ilvl="4" w:tplc="314E0154" w:tentative="1">
      <w:start w:val="1"/>
      <w:numFmt w:val="lowerLetter"/>
      <w:lvlText w:val="%5."/>
      <w:lvlJc w:val="left"/>
      <w:pPr>
        <w:ind w:left="3600" w:hanging="360"/>
      </w:pPr>
    </w:lvl>
    <w:lvl w:ilvl="5" w:tplc="5B565DBE" w:tentative="1">
      <w:start w:val="1"/>
      <w:numFmt w:val="lowerRoman"/>
      <w:lvlText w:val="%6."/>
      <w:lvlJc w:val="right"/>
      <w:pPr>
        <w:ind w:left="4320" w:hanging="180"/>
      </w:pPr>
    </w:lvl>
    <w:lvl w:ilvl="6" w:tplc="AC166C3E" w:tentative="1">
      <w:start w:val="1"/>
      <w:numFmt w:val="decimal"/>
      <w:lvlText w:val="%7."/>
      <w:lvlJc w:val="left"/>
      <w:pPr>
        <w:ind w:left="5040" w:hanging="360"/>
      </w:pPr>
    </w:lvl>
    <w:lvl w:ilvl="7" w:tplc="1136BB22" w:tentative="1">
      <w:start w:val="1"/>
      <w:numFmt w:val="lowerLetter"/>
      <w:lvlText w:val="%8."/>
      <w:lvlJc w:val="left"/>
      <w:pPr>
        <w:ind w:left="5760" w:hanging="360"/>
      </w:pPr>
    </w:lvl>
    <w:lvl w:ilvl="8" w:tplc="8EF6E896" w:tentative="1">
      <w:start w:val="1"/>
      <w:numFmt w:val="lowerRoman"/>
      <w:lvlText w:val="%9."/>
      <w:lvlJc w:val="right"/>
      <w:pPr>
        <w:ind w:left="6480" w:hanging="180"/>
      </w:pPr>
    </w:lvl>
  </w:abstractNum>
  <w:abstractNum w:abstractNumId="25">
    <w:nsid w:val="580632E6"/>
    <w:multiLevelType w:val="hybridMultilevel"/>
    <w:tmpl w:val="737CE4AA"/>
    <w:lvl w:ilvl="0" w:tplc="35FA1FD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FE5EF5"/>
    <w:multiLevelType w:val="hybridMultilevel"/>
    <w:tmpl w:val="5F5A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nsid w:val="66341653"/>
    <w:multiLevelType w:val="hybridMultilevel"/>
    <w:tmpl w:val="31D4F3DA"/>
    <w:lvl w:ilvl="0" w:tplc="3FD085B8">
      <w:start w:val="1"/>
      <w:numFmt w:val="lowerLetter"/>
      <w:lvlText w:val="%1)"/>
      <w:lvlJc w:val="left"/>
      <w:pPr>
        <w:ind w:left="1080" w:hanging="360"/>
      </w:pPr>
    </w:lvl>
    <w:lvl w:ilvl="1" w:tplc="4FD645A4" w:tentative="1">
      <w:start w:val="1"/>
      <w:numFmt w:val="lowerLetter"/>
      <w:lvlText w:val="%2."/>
      <w:lvlJc w:val="left"/>
      <w:pPr>
        <w:ind w:left="1800" w:hanging="360"/>
      </w:pPr>
    </w:lvl>
    <w:lvl w:ilvl="2" w:tplc="1A24173C" w:tentative="1">
      <w:start w:val="1"/>
      <w:numFmt w:val="lowerRoman"/>
      <w:lvlText w:val="%3."/>
      <w:lvlJc w:val="right"/>
      <w:pPr>
        <w:ind w:left="2520" w:hanging="180"/>
      </w:pPr>
    </w:lvl>
    <w:lvl w:ilvl="3" w:tplc="D22687C0" w:tentative="1">
      <w:start w:val="1"/>
      <w:numFmt w:val="decimal"/>
      <w:lvlText w:val="%4."/>
      <w:lvlJc w:val="left"/>
      <w:pPr>
        <w:ind w:left="3240" w:hanging="360"/>
      </w:pPr>
    </w:lvl>
    <w:lvl w:ilvl="4" w:tplc="454CFED4" w:tentative="1">
      <w:start w:val="1"/>
      <w:numFmt w:val="lowerLetter"/>
      <w:lvlText w:val="%5."/>
      <w:lvlJc w:val="left"/>
      <w:pPr>
        <w:ind w:left="3960" w:hanging="360"/>
      </w:pPr>
    </w:lvl>
    <w:lvl w:ilvl="5" w:tplc="94BC64F0" w:tentative="1">
      <w:start w:val="1"/>
      <w:numFmt w:val="lowerRoman"/>
      <w:lvlText w:val="%6."/>
      <w:lvlJc w:val="right"/>
      <w:pPr>
        <w:ind w:left="4680" w:hanging="180"/>
      </w:pPr>
    </w:lvl>
    <w:lvl w:ilvl="6" w:tplc="C4AC7DA4" w:tentative="1">
      <w:start w:val="1"/>
      <w:numFmt w:val="decimal"/>
      <w:lvlText w:val="%7."/>
      <w:lvlJc w:val="left"/>
      <w:pPr>
        <w:ind w:left="5400" w:hanging="360"/>
      </w:pPr>
    </w:lvl>
    <w:lvl w:ilvl="7" w:tplc="96025804" w:tentative="1">
      <w:start w:val="1"/>
      <w:numFmt w:val="lowerLetter"/>
      <w:lvlText w:val="%8."/>
      <w:lvlJc w:val="left"/>
      <w:pPr>
        <w:ind w:left="6120" w:hanging="360"/>
      </w:pPr>
    </w:lvl>
    <w:lvl w:ilvl="8" w:tplc="254E75D4" w:tentative="1">
      <w:start w:val="1"/>
      <w:numFmt w:val="lowerRoman"/>
      <w:lvlText w:val="%9."/>
      <w:lvlJc w:val="right"/>
      <w:pPr>
        <w:ind w:left="6840" w:hanging="180"/>
      </w:pPr>
    </w:lvl>
  </w:abstractNum>
  <w:abstractNum w:abstractNumId="2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nsid w:val="6AD9570F"/>
    <w:multiLevelType w:val="multilevel"/>
    <w:tmpl w:val="3AF2B950"/>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BC815DA"/>
    <w:multiLevelType w:val="multilevel"/>
    <w:tmpl w:val="0F184D5E"/>
    <w:lvl w:ilvl="0">
      <w:start w:val="1"/>
      <w:numFmt w:val="decimal"/>
      <w:pStyle w:val="EFSAAGENDASUBTITLE1NUMBERED"/>
      <w:lvlText w:val="%1."/>
      <w:lvlJc w:val="left"/>
      <w:pPr>
        <w:ind w:left="360" w:hanging="360"/>
      </w:pPr>
    </w:lvl>
    <w:lvl w:ilvl="1">
      <w:start w:val="1"/>
      <w:numFmt w:val="decimal"/>
      <w:pStyle w:val="EFSAAGENDASUBTITLE11NUMBERE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2643034"/>
    <w:multiLevelType w:val="hybridMultilevel"/>
    <w:tmpl w:val="CD68B640"/>
    <w:lvl w:ilvl="0" w:tplc="102A7374">
      <w:start w:val="1"/>
      <w:numFmt w:val="decimal"/>
      <w:lvlText w:val="(%1)"/>
      <w:lvlJc w:val="left"/>
      <w:pPr>
        <w:ind w:left="1909" w:hanging="360"/>
      </w:pPr>
      <w:rPr>
        <w:rFonts w:hint="default"/>
      </w:rPr>
    </w:lvl>
    <w:lvl w:ilvl="1" w:tplc="915AB57C" w:tentative="1">
      <w:start w:val="1"/>
      <w:numFmt w:val="lowerLetter"/>
      <w:lvlText w:val="%2."/>
      <w:lvlJc w:val="left"/>
      <w:pPr>
        <w:ind w:left="2629" w:hanging="360"/>
      </w:pPr>
    </w:lvl>
    <w:lvl w:ilvl="2" w:tplc="E4762EB0" w:tentative="1">
      <w:start w:val="1"/>
      <w:numFmt w:val="lowerRoman"/>
      <w:lvlText w:val="%3."/>
      <w:lvlJc w:val="right"/>
      <w:pPr>
        <w:ind w:left="3349" w:hanging="180"/>
      </w:pPr>
    </w:lvl>
    <w:lvl w:ilvl="3" w:tplc="9DA2C788" w:tentative="1">
      <w:start w:val="1"/>
      <w:numFmt w:val="decimal"/>
      <w:lvlText w:val="%4."/>
      <w:lvlJc w:val="left"/>
      <w:pPr>
        <w:ind w:left="4069" w:hanging="360"/>
      </w:pPr>
    </w:lvl>
    <w:lvl w:ilvl="4" w:tplc="4980098A" w:tentative="1">
      <w:start w:val="1"/>
      <w:numFmt w:val="lowerLetter"/>
      <w:lvlText w:val="%5."/>
      <w:lvlJc w:val="left"/>
      <w:pPr>
        <w:ind w:left="4789" w:hanging="360"/>
      </w:pPr>
    </w:lvl>
    <w:lvl w:ilvl="5" w:tplc="43F0D266" w:tentative="1">
      <w:start w:val="1"/>
      <w:numFmt w:val="lowerRoman"/>
      <w:lvlText w:val="%6."/>
      <w:lvlJc w:val="right"/>
      <w:pPr>
        <w:ind w:left="5509" w:hanging="180"/>
      </w:pPr>
    </w:lvl>
    <w:lvl w:ilvl="6" w:tplc="34D890AC" w:tentative="1">
      <w:start w:val="1"/>
      <w:numFmt w:val="decimal"/>
      <w:lvlText w:val="%7."/>
      <w:lvlJc w:val="left"/>
      <w:pPr>
        <w:ind w:left="6229" w:hanging="360"/>
      </w:pPr>
    </w:lvl>
    <w:lvl w:ilvl="7" w:tplc="82602600" w:tentative="1">
      <w:start w:val="1"/>
      <w:numFmt w:val="lowerLetter"/>
      <w:lvlText w:val="%8."/>
      <w:lvlJc w:val="left"/>
      <w:pPr>
        <w:ind w:left="6949" w:hanging="360"/>
      </w:pPr>
    </w:lvl>
    <w:lvl w:ilvl="8" w:tplc="3EFA46F6" w:tentative="1">
      <w:start w:val="1"/>
      <w:numFmt w:val="lowerRoman"/>
      <w:lvlText w:val="%9."/>
      <w:lvlJc w:val="right"/>
      <w:pPr>
        <w:ind w:left="7669" w:hanging="180"/>
      </w:pPr>
    </w:lvl>
  </w:abstractNum>
  <w:abstractNum w:abstractNumId="35">
    <w:nsid w:val="79FA34D6"/>
    <w:multiLevelType w:val="singleLevel"/>
    <w:tmpl w:val="DCB80990"/>
    <w:lvl w:ilvl="0">
      <w:start w:val="1"/>
      <w:numFmt w:val="bullet"/>
      <w:pStyle w:val="Par-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0"/>
  </w:num>
  <w:num w:numId="4">
    <w:abstractNumId w:val="23"/>
  </w:num>
  <w:num w:numId="5">
    <w:abstractNumId w:val="16"/>
  </w:num>
  <w:num w:numId="6">
    <w:abstractNumId w:val="14"/>
  </w:num>
  <w:num w:numId="7">
    <w:abstractNumId w:val="9"/>
  </w:num>
  <w:num w:numId="8">
    <w:abstractNumId w:val="8"/>
  </w:num>
  <w:num w:numId="9">
    <w:abstractNumId w:val="27"/>
  </w:num>
  <w:num w:numId="10">
    <w:abstractNumId w:val="30"/>
  </w:num>
  <w:num w:numId="11">
    <w:abstractNumId w:val="29"/>
  </w:num>
  <w:num w:numId="12">
    <w:abstractNumId w:val="33"/>
  </w:num>
  <w:num w:numId="13">
    <w:abstractNumId w:val="12"/>
  </w:num>
  <w:num w:numId="14">
    <w:abstractNumId w:val="18"/>
  </w:num>
  <w:num w:numId="15">
    <w:abstractNumId w:val="17"/>
  </w:num>
  <w:num w:numId="16">
    <w:abstractNumId w:val="5"/>
  </w:num>
  <w:num w:numId="17">
    <w:abstractNumId w:val="19"/>
  </w:num>
  <w:num w:numId="18">
    <w:abstractNumId w:val="35"/>
  </w:num>
  <w:num w:numId="19">
    <w:abstractNumId w:val="10"/>
  </w:num>
  <w:num w:numId="20">
    <w:abstractNumId w:val="24"/>
  </w:num>
  <w:num w:numId="21">
    <w:abstractNumId w:val="13"/>
  </w:num>
  <w:num w:numId="22">
    <w:abstractNumId w:val="28"/>
  </w:num>
  <w:num w:numId="23">
    <w:abstractNumId w:val="31"/>
  </w:num>
  <w:num w:numId="24">
    <w:abstractNumId w:val="7"/>
  </w:num>
  <w:num w:numId="25">
    <w:abstractNumId w:val="21"/>
  </w:num>
  <w:num w:numId="26">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5"/>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
  </w:num>
  <w:num w:numId="42">
    <w:abstractNumId w:val="6"/>
  </w:num>
  <w:num w:numId="43">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2"/>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Lindenthal">
    <w15:presenceInfo w15:providerId="Windows Live" w15:userId="b969e3a94538c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710222"/>
    <w:rsid w:val="000016FA"/>
    <w:rsid w:val="000042AD"/>
    <w:rsid w:val="00004580"/>
    <w:rsid w:val="00006557"/>
    <w:rsid w:val="000077EE"/>
    <w:rsid w:val="0000796B"/>
    <w:rsid w:val="00010B56"/>
    <w:rsid w:val="000113D8"/>
    <w:rsid w:val="00011B2F"/>
    <w:rsid w:val="00013035"/>
    <w:rsid w:val="00013A26"/>
    <w:rsid w:val="0001414A"/>
    <w:rsid w:val="0001522F"/>
    <w:rsid w:val="000155D6"/>
    <w:rsid w:val="00016729"/>
    <w:rsid w:val="00017136"/>
    <w:rsid w:val="000175D7"/>
    <w:rsid w:val="000179F3"/>
    <w:rsid w:val="00020D8B"/>
    <w:rsid w:val="00021AAC"/>
    <w:rsid w:val="00022B05"/>
    <w:rsid w:val="000256C0"/>
    <w:rsid w:val="00026300"/>
    <w:rsid w:val="000266E8"/>
    <w:rsid w:val="000268A5"/>
    <w:rsid w:val="00027E51"/>
    <w:rsid w:val="00027FA8"/>
    <w:rsid w:val="00030460"/>
    <w:rsid w:val="000305FC"/>
    <w:rsid w:val="00031591"/>
    <w:rsid w:val="000316C4"/>
    <w:rsid w:val="000335A1"/>
    <w:rsid w:val="00033D3D"/>
    <w:rsid w:val="00034416"/>
    <w:rsid w:val="00034D09"/>
    <w:rsid w:val="00035697"/>
    <w:rsid w:val="000359E1"/>
    <w:rsid w:val="00035D73"/>
    <w:rsid w:val="000365DA"/>
    <w:rsid w:val="00036DBF"/>
    <w:rsid w:val="00037B5B"/>
    <w:rsid w:val="000508AC"/>
    <w:rsid w:val="00050D15"/>
    <w:rsid w:val="0005113A"/>
    <w:rsid w:val="0005149C"/>
    <w:rsid w:val="0005293C"/>
    <w:rsid w:val="00052AD7"/>
    <w:rsid w:val="0005450E"/>
    <w:rsid w:val="00054EE0"/>
    <w:rsid w:val="000553E9"/>
    <w:rsid w:val="00057363"/>
    <w:rsid w:val="000574ED"/>
    <w:rsid w:val="00061887"/>
    <w:rsid w:val="0006324B"/>
    <w:rsid w:val="00064381"/>
    <w:rsid w:val="00064C68"/>
    <w:rsid w:val="00065E67"/>
    <w:rsid w:val="00065F9B"/>
    <w:rsid w:val="0006775E"/>
    <w:rsid w:val="00071CFC"/>
    <w:rsid w:val="0007304C"/>
    <w:rsid w:val="00074086"/>
    <w:rsid w:val="000777B2"/>
    <w:rsid w:val="00080E4E"/>
    <w:rsid w:val="000821AA"/>
    <w:rsid w:val="0008439C"/>
    <w:rsid w:val="00084B47"/>
    <w:rsid w:val="00085567"/>
    <w:rsid w:val="00087666"/>
    <w:rsid w:val="000877A0"/>
    <w:rsid w:val="00087ED9"/>
    <w:rsid w:val="00090843"/>
    <w:rsid w:val="0009425A"/>
    <w:rsid w:val="0009647F"/>
    <w:rsid w:val="000A2814"/>
    <w:rsid w:val="000A36C7"/>
    <w:rsid w:val="000A51F3"/>
    <w:rsid w:val="000A563C"/>
    <w:rsid w:val="000A5F40"/>
    <w:rsid w:val="000A6D44"/>
    <w:rsid w:val="000A6D58"/>
    <w:rsid w:val="000A7169"/>
    <w:rsid w:val="000A71CB"/>
    <w:rsid w:val="000B0B1B"/>
    <w:rsid w:val="000B12F5"/>
    <w:rsid w:val="000B1732"/>
    <w:rsid w:val="000B22B2"/>
    <w:rsid w:val="000B3B9D"/>
    <w:rsid w:val="000B3BE7"/>
    <w:rsid w:val="000B3CE4"/>
    <w:rsid w:val="000B6E26"/>
    <w:rsid w:val="000C38E6"/>
    <w:rsid w:val="000C3930"/>
    <w:rsid w:val="000C466F"/>
    <w:rsid w:val="000C486D"/>
    <w:rsid w:val="000C4B24"/>
    <w:rsid w:val="000C4F1A"/>
    <w:rsid w:val="000C5D6E"/>
    <w:rsid w:val="000C6ED1"/>
    <w:rsid w:val="000C71BF"/>
    <w:rsid w:val="000C7490"/>
    <w:rsid w:val="000C7A71"/>
    <w:rsid w:val="000C7ED0"/>
    <w:rsid w:val="000D1955"/>
    <w:rsid w:val="000D1D31"/>
    <w:rsid w:val="000D1E9A"/>
    <w:rsid w:val="000D2D46"/>
    <w:rsid w:val="000D456D"/>
    <w:rsid w:val="000D4963"/>
    <w:rsid w:val="000D630D"/>
    <w:rsid w:val="000D793D"/>
    <w:rsid w:val="000E07F5"/>
    <w:rsid w:val="000E1F6A"/>
    <w:rsid w:val="000E203D"/>
    <w:rsid w:val="000E2C82"/>
    <w:rsid w:val="000E2E97"/>
    <w:rsid w:val="000E3430"/>
    <w:rsid w:val="000E39E5"/>
    <w:rsid w:val="000E4434"/>
    <w:rsid w:val="000E718E"/>
    <w:rsid w:val="000F21D3"/>
    <w:rsid w:val="000F298D"/>
    <w:rsid w:val="000F3E56"/>
    <w:rsid w:val="000F4226"/>
    <w:rsid w:val="001006E0"/>
    <w:rsid w:val="00100F4B"/>
    <w:rsid w:val="00101404"/>
    <w:rsid w:val="0010148D"/>
    <w:rsid w:val="0010204C"/>
    <w:rsid w:val="00110966"/>
    <w:rsid w:val="00112452"/>
    <w:rsid w:val="00112C09"/>
    <w:rsid w:val="00113F59"/>
    <w:rsid w:val="0011417A"/>
    <w:rsid w:val="00114509"/>
    <w:rsid w:val="00114B4B"/>
    <w:rsid w:val="0011613A"/>
    <w:rsid w:val="001178ED"/>
    <w:rsid w:val="00117DDB"/>
    <w:rsid w:val="00117EBB"/>
    <w:rsid w:val="00120EE5"/>
    <w:rsid w:val="00121179"/>
    <w:rsid w:val="00121C2B"/>
    <w:rsid w:val="00121DAF"/>
    <w:rsid w:val="00122591"/>
    <w:rsid w:val="00122750"/>
    <w:rsid w:val="001233A1"/>
    <w:rsid w:val="00124111"/>
    <w:rsid w:val="001243E3"/>
    <w:rsid w:val="0012515E"/>
    <w:rsid w:val="00125B4E"/>
    <w:rsid w:val="00127FCA"/>
    <w:rsid w:val="00130294"/>
    <w:rsid w:val="00130F1D"/>
    <w:rsid w:val="0013156F"/>
    <w:rsid w:val="001315B4"/>
    <w:rsid w:val="00132473"/>
    <w:rsid w:val="00133608"/>
    <w:rsid w:val="00133695"/>
    <w:rsid w:val="001413CF"/>
    <w:rsid w:val="00141CEA"/>
    <w:rsid w:val="00142C57"/>
    <w:rsid w:val="001431E9"/>
    <w:rsid w:val="00144CFF"/>
    <w:rsid w:val="00144D86"/>
    <w:rsid w:val="00145999"/>
    <w:rsid w:val="001467DC"/>
    <w:rsid w:val="00147650"/>
    <w:rsid w:val="001479F2"/>
    <w:rsid w:val="00147F0A"/>
    <w:rsid w:val="0015047F"/>
    <w:rsid w:val="00150DB5"/>
    <w:rsid w:val="00151290"/>
    <w:rsid w:val="00152ECD"/>
    <w:rsid w:val="00154ABF"/>
    <w:rsid w:val="001559E3"/>
    <w:rsid w:val="00156BAB"/>
    <w:rsid w:val="00156F58"/>
    <w:rsid w:val="00160560"/>
    <w:rsid w:val="001619B8"/>
    <w:rsid w:val="00161A8C"/>
    <w:rsid w:val="00165541"/>
    <w:rsid w:val="0016632E"/>
    <w:rsid w:val="0017075B"/>
    <w:rsid w:val="00171093"/>
    <w:rsid w:val="00171717"/>
    <w:rsid w:val="00171C28"/>
    <w:rsid w:val="00172340"/>
    <w:rsid w:val="00173B7E"/>
    <w:rsid w:val="001742FB"/>
    <w:rsid w:val="001745A5"/>
    <w:rsid w:val="0017523A"/>
    <w:rsid w:val="00177910"/>
    <w:rsid w:val="00180026"/>
    <w:rsid w:val="0018037D"/>
    <w:rsid w:val="0018091F"/>
    <w:rsid w:val="00181185"/>
    <w:rsid w:val="0018232C"/>
    <w:rsid w:val="00182853"/>
    <w:rsid w:val="00185274"/>
    <w:rsid w:val="00187EE9"/>
    <w:rsid w:val="0019199A"/>
    <w:rsid w:val="00191BD0"/>
    <w:rsid w:val="00193482"/>
    <w:rsid w:val="00193C62"/>
    <w:rsid w:val="00194F2E"/>
    <w:rsid w:val="001955A0"/>
    <w:rsid w:val="00196D1D"/>
    <w:rsid w:val="00197257"/>
    <w:rsid w:val="001A0007"/>
    <w:rsid w:val="001A149D"/>
    <w:rsid w:val="001A26DF"/>
    <w:rsid w:val="001A2B6B"/>
    <w:rsid w:val="001A2EAB"/>
    <w:rsid w:val="001A30B1"/>
    <w:rsid w:val="001A31FE"/>
    <w:rsid w:val="001A4493"/>
    <w:rsid w:val="001A464C"/>
    <w:rsid w:val="001A5638"/>
    <w:rsid w:val="001A658B"/>
    <w:rsid w:val="001A7002"/>
    <w:rsid w:val="001A7FB4"/>
    <w:rsid w:val="001B005A"/>
    <w:rsid w:val="001B02BC"/>
    <w:rsid w:val="001B07DA"/>
    <w:rsid w:val="001B0ED8"/>
    <w:rsid w:val="001B19DF"/>
    <w:rsid w:val="001B2A7E"/>
    <w:rsid w:val="001B3181"/>
    <w:rsid w:val="001B344E"/>
    <w:rsid w:val="001B3AAF"/>
    <w:rsid w:val="001B43DC"/>
    <w:rsid w:val="001B57EE"/>
    <w:rsid w:val="001B6A28"/>
    <w:rsid w:val="001B6F71"/>
    <w:rsid w:val="001B7548"/>
    <w:rsid w:val="001B7E05"/>
    <w:rsid w:val="001C0114"/>
    <w:rsid w:val="001C2EAE"/>
    <w:rsid w:val="001C32FE"/>
    <w:rsid w:val="001C333B"/>
    <w:rsid w:val="001C51B7"/>
    <w:rsid w:val="001C58DB"/>
    <w:rsid w:val="001C5D68"/>
    <w:rsid w:val="001C6368"/>
    <w:rsid w:val="001C6ACF"/>
    <w:rsid w:val="001C6D98"/>
    <w:rsid w:val="001C7495"/>
    <w:rsid w:val="001D1051"/>
    <w:rsid w:val="001D1413"/>
    <w:rsid w:val="001D1D18"/>
    <w:rsid w:val="001D1EA5"/>
    <w:rsid w:val="001D3F9A"/>
    <w:rsid w:val="001D3FAC"/>
    <w:rsid w:val="001D47AE"/>
    <w:rsid w:val="001D49E7"/>
    <w:rsid w:val="001D4E03"/>
    <w:rsid w:val="001D5145"/>
    <w:rsid w:val="001D5B41"/>
    <w:rsid w:val="001D65C2"/>
    <w:rsid w:val="001D664F"/>
    <w:rsid w:val="001D6ABE"/>
    <w:rsid w:val="001E1373"/>
    <w:rsid w:val="001E36DB"/>
    <w:rsid w:val="001E3BBD"/>
    <w:rsid w:val="001E455F"/>
    <w:rsid w:val="001F0BAD"/>
    <w:rsid w:val="001F19A8"/>
    <w:rsid w:val="001F1DCC"/>
    <w:rsid w:val="001F2893"/>
    <w:rsid w:val="001F5913"/>
    <w:rsid w:val="001F731F"/>
    <w:rsid w:val="00200E15"/>
    <w:rsid w:val="00203FB7"/>
    <w:rsid w:val="002042E3"/>
    <w:rsid w:val="0021354D"/>
    <w:rsid w:val="00213B29"/>
    <w:rsid w:val="00216854"/>
    <w:rsid w:val="002203F6"/>
    <w:rsid w:val="00221821"/>
    <w:rsid w:val="00221BEE"/>
    <w:rsid w:val="00222A1C"/>
    <w:rsid w:val="00222D12"/>
    <w:rsid w:val="00222ECF"/>
    <w:rsid w:val="00224289"/>
    <w:rsid w:val="0022454C"/>
    <w:rsid w:val="00224B4F"/>
    <w:rsid w:val="00224D01"/>
    <w:rsid w:val="00227EDB"/>
    <w:rsid w:val="00230A59"/>
    <w:rsid w:val="002343A0"/>
    <w:rsid w:val="002350DA"/>
    <w:rsid w:val="00236287"/>
    <w:rsid w:val="00237716"/>
    <w:rsid w:val="00237C65"/>
    <w:rsid w:val="00240833"/>
    <w:rsid w:val="00240C58"/>
    <w:rsid w:val="00241639"/>
    <w:rsid w:val="00242366"/>
    <w:rsid w:val="00242979"/>
    <w:rsid w:val="00243022"/>
    <w:rsid w:val="00245158"/>
    <w:rsid w:val="0024540E"/>
    <w:rsid w:val="00245AA3"/>
    <w:rsid w:val="002477D9"/>
    <w:rsid w:val="002523C2"/>
    <w:rsid w:val="00252E2A"/>
    <w:rsid w:val="0025342A"/>
    <w:rsid w:val="002537D3"/>
    <w:rsid w:val="002538A3"/>
    <w:rsid w:val="002538D1"/>
    <w:rsid w:val="00254620"/>
    <w:rsid w:val="0025483D"/>
    <w:rsid w:val="00254C5E"/>
    <w:rsid w:val="00255964"/>
    <w:rsid w:val="0025600D"/>
    <w:rsid w:val="002577DC"/>
    <w:rsid w:val="00263339"/>
    <w:rsid w:val="00263BDA"/>
    <w:rsid w:val="002643FD"/>
    <w:rsid w:val="0026440E"/>
    <w:rsid w:val="00270FE4"/>
    <w:rsid w:val="00271723"/>
    <w:rsid w:val="00271911"/>
    <w:rsid w:val="002726A5"/>
    <w:rsid w:val="00273517"/>
    <w:rsid w:val="002743B3"/>
    <w:rsid w:val="00274D3C"/>
    <w:rsid w:val="002801AF"/>
    <w:rsid w:val="00281DCC"/>
    <w:rsid w:val="002831BE"/>
    <w:rsid w:val="00284665"/>
    <w:rsid w:val="00286628"/>
    <w:rsid w:val="002870AB"/>
    <w:rsid w:val="002929F0"/>
    <w:rsid w:val="002936F5"/>
    <w:rsid w:val="002938C2"/>
    <w:rsid w:val="00294E08"/>
    <w:rsid w:val="00297A0E"/>
    <w:rsid w:val="002A08E8"/>
    <w:rsid w:val="002A27D5"/>
    <w:rsid w:val="002A2FB2"/>
    <w:rsid w:val="002A33BF"/>
    <w:rsid w:val="002A4EAA"/>
    <w:rsid w:val="002A6057"/>
    <w:rsid w:val="002A72DE"/>
    <w:rsid w:val="002B05FE"/>
    <w:rsid w:val="002B0FA1"/>
    <w:rsid w:val="002B1475"/>
    <w:rsid w:val="002B31D1"/>
    <w:rsid w:val="002B38B0"/>
    <w:rsid w:val="002B4392"/>
    <w:rsid w:val="002B5613"/>
    <w:rsid w:val="002B5FAC"/>
    <w:rsid w:val="002B68E9"/>
    <w:rsid w:val="002C028C"/>
    <w:rsid w:val="002C063E"/>
    <w:rsid w:val="002C1032"/>
    <w:rsid w:val="002C1FF9"/>
    <w:rsid w:val="002C20AD"/>
    <w:rsid w:val="002C29DB"/>
    <w:rsid w:val="002C2B20"/>
    <w:rsid w:val="002C2FA0"/>
    <w:rsid w:val="002C3A69"/>
    <w:rsid w:val="002C3ACD"/>
    <w:rsid w:val="002C4B88"/>
    <w:rsid w:val="002C55EB"/>
    <w:rsid w:val="002C682C"/>
    <w:rsid w:val="002C7134"/>
    <w:rsid w:val="002D0CB1"/>
    <w:rsid w:val="002D13F2"/>
    <w:rsid w:val="002D1AE2"/>
    <w:rsid w:val="002D2185"/>
    <w:rsid w:val="002D3B8E"/>
    <w:rsid w:val="002D46E8"/>
    <w:rsid w:val="002D5FB6"/>
    <w:rsid w:val="002D67E7"/>
    <w:rsid w:val="002D6D2F"/>
    <w:rsid w:val="002D6F1B"/>
    <w:rsid w:val="002D7E02"/>
    <w:rsid w:val="002E2693"/>
    <w:rsid w:val="002E2A78"/>
    <w:rsid w:val="002E3B86"/>
    <w:rsid w:val="002E41D6"/>
    <w:rsid w:val="002E44DA"/>
    <w:rsid w:val="002E4691"/>
    <w:rsid w:val="002E6E26"/>
    <w:rsid w:val="002F1D2D"/>
    <w:rsid w:val="002F3341"/>
    <w:rsid w:val="002F5EDD"/>
    <w:rsid w:val="002F5FB1"/>
    <w:rsid w:val="002F6FFE"/>
    <w:rsid w:val="002F7EE4"/>
    <w:rsid w:val="0030065F"/>
    <w:rsid w:val="00301FD8"/>
    <w:rsid w:val="00302023"/>
    <w:rsid w:val="00302850"/>
    <w:rsid w:val="00302B6C"/>
    <w:rsid w:val="00302C14"/>
    <w:rsid w:val="00302E09"/>
    <w:rsid w:val="00303124"/>
    <w:rsid w:val="00304B13"/>
    <w:rsid w:val="003058A3"/>
    <w:rsid w:val="00305E5B"/>
    <w:rsid w:val="00306A66"/>
    <w:rsid w:val="00306EB3"/>
    <w:rsid w:val="00307893"/>
    <w:rsid w:val="0030795D"/>
    <w:rsid w:val="00310308"/>
    <w:rsid w:val="00310C93"/>
    <w:rsid w:val="00311A0D"/>
    <w:rsid w:val="003125FD"/>
    <w:rsid w:val="00312734"/>
    <w:rsid w:val="003129AC"/>
    <w:rsid w:val="0031405E"/>
    <w:rsid w:val="00314630"/>
    <w:rsid w:val="00314673"/>
    <w:rsid w:val="0031529E"/>
    <w:rsid w:val="00316674"/>
    <w:rsid w:val="003166BA"/>
    <w:rsid w:val="00316BF2"/>
    <w:rsid w:val="00320019"/>
    <w:rsid w:val="00321684"/>
    <w:rsid w:val="00322181"/>
    <w:rsid w:val="003233E4"/>
    <w:rsid w:val="00324062"/>
    <w:rsid w:val="003255E4"/>
    <w:rsid w:val="00327CE3"/>
    <w:rsid w:val="003311AB"/>
    <w:rsid w:val="00331EE1"/>
    <w:rsid w:val="00332626"/>
    <w:rsid w:val="00332690"/>
    <w:rsid w:val="003331D2"/>
    <w:rsid w:val="00333308"/>
    <w:rsid w:val="00333B89"/>
    <w:rsid w:val="00334442"/>
    <w:rsid w:val="00334C93"/>
    <w:rsid w:val="00334FBC"/>
    <w:rsid w:val="00336AFD"/>
    <w:rsid w:val="00336CBA"/>
    <w:rsid w:val="00337A0A"/>
    <w:rsid w:val="003402AA"/>
    <w:rsid w:val="003405C6"/>
    <w:rsid w:val="00341985"/>
    <w:rsid w:val="0034316F"/>
    <w:rsid w:val="00343A1F"/>
    <w:rsid w:val="00346B1E"/>
    <w:rsid w:val="00346E55"/>
    <w:rsid w:val="003518DD"/>
    <w:rsid w:val="00351B06"/>
    <w:rsid w:val="00354DEE"/>
    <w:rsid w:val="00357E9A"/>
    <w:rsid w:val="003650DF"/>
    <w:rsid w:val="00365492"/>
    <w:rsid w:val="0036611D"/>
    <w:rsid w:val="003664B9"/>
    <w:rsid w:val="00366C60"/>
    <w:rsid w:val="003675E2"/>
    <w:rsid w:val="0037034E"/>
    <w:rsid w:val="003716CA"/>
    <w:rsid w:val="00371D8B"/>
    <w:rsid w:val="00372BB4"/>
    <w:rsid w:val="00373B0D"/>
    <w:rsid w:val="0037539F"/>
    <w:rsid w:val="00382B1E"/>
    <w:rsid w:val="00382E54"/>
    <w:rsid w:val="00383128"/>
    <w:rsid w:val="00384C01"/>
    <w:rsid w:val="003862DD"/>
    <w:rsid w:val="00390A21"/>
    <w:rsid w:val="00390A58"/>
    <w:rsid w:val="00394502"/>
    <w:rsid w:val="00394D14"/>
    <w:rsid w:val="00395ADC"/>
    <w:rsid w:val="00396431"/>
    <w:rsid w:val="003A3180"/>
    <w:rsid w:val="003A39C5"/>
    <w:rsid w:val="003A3CB3"/>
    <w:rsid w:val="003A403C"/>
    <w:rsid w:val="003A41AE"/>
    <w:rsid w:val="003A58E0"/>
    <w:rsid w:val="003A656F"/>
    <w:rsid w:val="003B05ED"/>
    <w:rsid w:val="003B2DC0"/>
    <w:rsid w:val="003B4F91"/>
    <w:rsid w:val="003B71E8"/>
    <w:rsid w:val="003B7974"/>
    <w:rsid w:val="003B7CF6"/>
    <w:rsid w:val="003C113B"/>
    <w:rsid w:val="003C4561"/>
    <w:rsid w:val="003C4914"/>
    <w:rsid w:val="003C5BAE"/>
    <w:rsid w:val="003C661F"/>
    <w:rsid w:val="003D3736"/>
    <w:rsid w:val="003D38C7"/>
    <w:rsid w:val="003D5C7C"/>
    <w:rsid w:val="003E0AC4"/>
    <w:rsid w:val="003E0ACB"/>
    <w:rsid w:val="003E174D"/>
    <w:rsid w:val="003E1B1D"/>
    <w:rsid w:val="003E2392"/>
    <w:rsid w:val="003E282D"/>
    <w:rsid w:val="003E2B87"/>
    <w:rsid w:val="003E4E6C"/>
    <w:rsid w:val="003E694C"/>
    <w:rsid w:val="003E7902"/>
    <w:rsid w:val="003F0040"/>
    <w:rsid w:val="003F0290"/>
    <w:rsid w:val="003F038D"/>
    <w:rsid w:val="003F08E9"/>
    <w:rsid w:val="003F1548"/>
    <w:rsid w:val="003F1AE7"/>
    <w:rsid w:val="003F33FC"/>
    <w:rsid w:val="003F4763"/>
    <w:rsid w:val="003F4F6F"/>
    <w:rsid w:val="003F60A5"/>
    <w:rsid w:val="003F7EF3"/>
    <w:rsid w:val="004007D9"/>
    <w:rsid w:val="00400C5A"/>
    <w:rsid w:val="004018E7"/>
    <w:rsid w:val="00401F44"/>
    <w:rsid w:val="0040297D"/>
    <w:rsid w:val="00402DDE"/>
    <w:rsid w:val="00403E0D"/>
    <w:rsid w:val="00403EF5"/>
    <w:rsid w:val="0040523D"/>
    <w:rsid w:val="00405449"/>
    <w:rsid w:val="00406270"/>
    <w:rsid w:val="0041253D"/>
    <w:rsid w:val="00414D01"/>
    <w:rsid w:val="0041539D"/>
    <w:rsid w:val="00415EB9"/>
    <w:rsid w:val="00420C11"/>
    <w:rsid w:val="004221BF"/>
    <w:rsid w:val="00424C01"/>
    <w:rsid w:val="00425D88"/>
    <w:rsid w:val="00426093"/>
    <w:rsid w:val="00426625"/>
    <w:rsid w:val="00426D39"/>
    <w:rsid w:val="00426E81"/>
    <w:rsid w:val="00427EFC"/>
    <w:rsid w:val="00427F8B"/>
    <w:rsid w:val="00430273"/>
    <w:rsid w:val="0043028A"/>
    <w:rsid w:val="00431227"/>
    <w:rsid w:val="0043128E"/>
    <w:rsid w:val="00431E4E"/>
    <w:rsid w:val="00432781"/>
    <w:rsid w:val="0043450C"/>
    <w:rsid w:val="00435659"/>
    <w:rsid w:val="00435A21"/>
    <w:rsid w:val="00436A4E"/>
    <w:rsid w:val="00436AE5"/>
    <w:rsid w:val="00441B19"/>
    <w:rsid w:val="00442055"/>
    <w:rsid w:val="00443599"/>
    <w:rsid w:val="004439F2"/>
    <w:rsid w:val="00445802"/>
    <w:rsid w:val="00445A02"/>
    <w:rsid w:val="004471BC"/>
    <w:rsid w:val="00447E56"/>
    <w:rsid w:val="004507D8"/>
    <w:rsid w:val="00451915"/>
    <w:rsid w:val="004530E0"/>
    <w:rsid w:val="0045614A"/>
    <w:rsid w:val="0045686B"/>
    <w:rsid w:val="00456AFE"/>
    <w:rsid w:val="004575BD"/>
    <w:rsid w:val="00460955"/>
    <w:rsid w:val="00460A58"/>
    <w:rsid w:val="004636E2"/>
    <w:rsid w:val="0046392B"/>
    <w:rsid w:val="004659EF"/>
    <w:rsid w:val="0046769E"/>
    <w:rsid w:val="004707C4"/>
    <w:rsid w:val="0047117F"/>
    <w:rsid w:val="00471230"/>
    <w:rsid w:val="00472002"/>
    <w:rsid w:val="00472561"/>
    <w:rsid w:val="004725A0"/>
    <w:rsid w:val="00473508"/>
    <w:rsid w:val="00474349"/>
    <w:rsid w:val="004762DC"/>
    <w:rsid w:val="004770E7"/>
    <w:rsid w:val="00480E76"/>
    <w:rsid w:val="00481911"/>
    <w:rsid w:val="00485C24"/>
    <w:rsid w:val="00487234"/>
    <w:rsid w:val="00491C8D"/>
    <w:rsid w:val="004923C8"/>
    <w:rsid w:val="004928D7"/>
    <w:rsid w:val="00492A9B"/>
    <w:rsid w:val="004940F9"/>
    <w:rsid w:val="004945B3"/>
    <w:rsid w:val="00494CDD"/>
    <w:rsid w:val="004951AD"/>
    <w:rsid w:val="004956B8"/>
    <w:rsid w:val="004A0142"/>
    <w:rsid w:val="004A1AE1"/>
    <w:rsid w:val="004A1E75"/>
    <w:rsid w:val="004A2891"/>
    <w:rsid w:val="004A29EA"/>
    <w:rsid w:val="004A4C9D"/>
    <w:rsid w:val="004A6B95"/>
    <w:rsid w:val="004B054C"/>
    <w:rsid w:val="004B1543"/>
    <w:rsid w:val="004B1DA4"/>
    <w:rsid w:val="004B2D87"/>
    <w:rsid w:val="004B39CA"/>
    <w:rsid w:val="004B4713"/>
    <w:rsid w:val="004B4DBE"/>
    <w:rsid w:val="004B5087"/>
    <w:rsid w:val="004B5218"/>
    <w:rsid w:val="004B6B85"/>
    <w:rsid w:val="004B6BD4"/>
    <w:rsid w:val="004C078C"/>
    <w:rsid w:val="004C21C8"/>
    <w:rsid w:val="004C2F32"/>
    <w:rsid w:val="004C3ABF"/>
    <w:rsid w:val="004C5520"/>
    <w:rsid w:val="004C7715"/>
    <w:rsid w:val="004C7A0D"/>
    <w:rsid w:val="004D2559"/>
    <w:rsid w:val="004D2D41"/>
    <w:rsid w:val="004D45C4"/>
    <w:rsid w:val="004D57EF"/>
    <w:rsid w:val="004D5E3C"/>
    <w:rsid w:val="004D5FF4"/>
    <w:rsid w:val="004D73F4"/>
    <w:rsid w:val="004D7673"/>
    <w:rsid w:val="004E140C"/>
    <w:rsid w:val="004E1A92"/>
    <w:rsid w:val="004E1AA2"/>
    <w:rsid w:val="004E1D29"/>
    <w:rsid w:val="004E4403"/>
    <w:rsid w:val="004E528E"/>
    <w:rsid w:val="004E6501"/>
    <w:rsid w:val="004E7850"/>
    <w:rsid w:val="004F0523"/>
    <w:rsid w:val="004F06C0"/>
    <w:rsid w:val="004F1882"/>
    <w:rsid w:val="004F2A80"/>
    <w:rsid w:val="004F2EBF"/>
    <w:rsid w:val="004F2F3E"/>
    <w:rsid w:val="004F4B73"/>
    <w:rsid w:val="004F505A"/>
    <w:rsid w:val="00503A1E"/>
    <w:rsid w:val="00504A5E"/>
    <w:rsid w:val="00504D8C"/>
    <w:rsid w:val="00512025"/>
    <w:rsid w:val="005123D1"/>
    <w:rsid w:val="00517705"/>
    <w:rsid w:val="00520676"/>
    <w:rsid w:val="00520867"/>
    <w:rsid w:val="00520BCB"/>
    <w:rsid w:val="00525397"/>
    <w:rsid w:val="0052584C"/>
    <w:rsid w:val="00526585"/>
    <w:rsid w:val="00526814"/>
    <w:rsid w:val="00526AA1"/>
    <w:rsid w:val="0053084F"/>
    <w:rsid w:val="00530C37"/>
    <w:rsid w:val="005331B8"/>
    <w:rsid w:val="00534DC8"/>
    <w:rsid w:val="005354B9"/>
    <w:rsid w:val="0053625C"/>
    <w:rsid w:val="0053737C"/>
    <w:rsid w:val="005410F6"/>
    <w:rsid w:val="00543804"/>
    <w:rsid w:val="00545477"/>
    <w:rsid w:val="00547792"/>
    <w:rsid w:val="00547C95"/>
    <w:rsid w:val="0055040E"/>
    <w:rsid w:val="00550B81"/>
    <w:rsid w:val="00550F9B"/>
    <w:rsid w:val="00551652"/>
    <w:rsid w:val="00551762"/>
    <w:rsid w:val="00551C28"/>
    <w:rsid w:val="0055305E"/>
    <w:rsid w:val="005539A5"/>
    <w:rsid w:val="00560283"/>
    <w:rsid w:val="00562B47"/>
    <w:rsid w:val="005631A3"/>
    <w:rsid w:val="0056417D"/>
    <w:rsid w:val="005642AC"/>
    <w:rsid w:val="00564B4A"/>
    <w:rsid w:val="00565C3D"/>
    <w:rsid w:val="00565D2B"/>
    <w:rsid w:val="0056619A"/>
    <w:rsid w:val="0056669C"/>
    <w:rsid w:val="00566B04"/>
    <w:rsid w:val="00570A79"/>
    <w:rsid w:val="0057112A"/>
    <w:rsid w:val="0057186B"/>
    <w:rsid w:val="00572A16"/>
    <w:rsid w:val="00573170"/>
    <w:rsid w:val="00574815"/>
    <w:rsid w:val="0057777B"/>
    <w:rsid w:val="00577C52"/>
    <w:rsid w:val="00581700"/>
    <w:rsid w:val="005825C5"/>
    <w:rsid w:val="005826FC"/>
    <w:rsid w:val="00584181"/>
    <w:rsid w:val="005844F3"/>
    <w:rsid w:val="00587FC9"/>
    <w:rsid w:val="0059056E"/>
    <w:rsid w:val="0059139B"/>
    <w:rsid w:val="00591F62"/>
    <w:rsid w:val="005959A6"/>
    <w:rsid w:val="00595C6E"/>
    <w:rsid w:val="00595DA1"/>
    <w:rsid w:val="005966CB"/>
    <w:rsid w:val="005972A9"/>
    <w:rsid w:val="0059784D"/>
    <w:rsid w:val="00597FA6"/>
    <w:rsid w:val="005A0232"/>
    <w:rsid w:val="005A0D84"/>
    <w:rsid w:val="005A12B7"/>
    <w:rsid w:val="005A1BC9"/>
    <w:rsid w:val="005A1CA7"/>
    <w:rsid w:val="005A4659"/>
    <w:rsid w:val="005A4BF0"/>
    <w:rsid w:val="005A4C1E"/>
    <w:rsid w:val="005A6F49"/>
    <w:rsid w:val="005A7596"/>
    <w:rsid w:val="005B0C94"/>
    <w:rsid w:val="005B1818"/>
    <w:rsid w:val="005B26CF"/>
    <w:rsid w:val="005B2A32"/>
    <w:rsid w:val="005B42B6"/>
    <w:rsid w:val="005B49E7"/>
    <w:rsid w:val="005B7679"/>
    <w:rsid w:val="005B7A03"/>
    <w:rsid w:val="005C074F"/>
    <w:rsid w:val="005C1A63"/>
    <w:rsid w:val="005C7EB1"/>
    <w:rsid w:val="005D15F8"/>
    <w:rsid w:val="005D2E0B"/>
    <w:rsid w:val="005D3B63"/>
    <w:rsid w:val="005D5324"/>
    <w:rsid w:val="005D5A7F"/>
    <w:rsid w:val="005D667C"/>
    <w:rsid w:val="005D66BB"/>
    <w:rsid w:val="005D7795"/>
    <w:rsid w:val="005D77B6"/>
    <w:rsid w:val="005E00AA"/>
    <w:rsid w:val="005E0768"/>
    <w:rsid w:val="005E111B"/>
    <w:rsid w:val="005E1579"/>
    <w:rsid w:val="005E1588"/>
    <w:rsid w:val="005E3399"/>
    <w:rsid w:val="005E364C"/>
    <w:rsid w:val="005E3A17"/>
    <w:rsid w:val="005E4142"/>
    <w:rsid w:val="005E4CDD"/>
    <w:rsid w:val="005E6E59"/>
    <w:rsid w:val="005F0636"/>
    <w:rsid w:val="005F1F88"/>
    <w:rsid w:val="005F3473"/>
    <w:rsid w:val="005F4DA4"/>
    <w:rsid w:val="005F4F36"/>
    <w:rsid w:val="005F6983"/>
    <w:rsid w:val="005F7A57"/>
    <w:rsid w:val="006032A1"/>
    <w:rsid w:val="00605B22"/>
    <w:rsid w:val="00606FF3"/>
    <w:rsid w:val="00607163"/>
    <w:rsid w:val="0060782C"/>
    <w:rsid w:val="0061053F"/>
    <w:rsid w:val="006122D2"/>
    <w:rsid w:val="00612813"/>
    <w:rsid w:val="006133B8"/>
    <w:rsid w:val="006140FA"/>
    <w:rsid w:val="006141B0"/>
    <w:rsid w:val="006149E1"/>
    <w:rsid w:val="00615F68"/>
    <w:rsid w:val="0061606D"/>
    <w:rsid w:val="006166F9"/>
    <w:rsid w:val="0062056D"/>
    <w:rsid w:val="00620663"/>
    <w:rsid w:val="00620A1E"/>
    <w:rsid w:val="00620BE5"/>
    <w:rsid w:val="00621A8E"/>
    <w:rsid w:val="006222D5"/>
    <w:rsid w:val="00627C9F"/>
    <w:rsid w:val="00630241"/>
    <w:rsid w:val="00630CFF"/>
    <w:rsid w:val="006313C5"/>
    <w:rsid w:val="006325D6"/>
    <w:rsid w:val="00632FE7"/>
    <w:rsid w:val="006331E6"/>
    <w:rsid w:val="00633D57"/>
    <w:rsid w:val="00635722"/>
    <w:rsid w:val="00636ADD"/>
    <w:rsid w:val="00637BB5"/>
    <w:rsid w:val="00642D4B"/>
    <w:rsid w:val="0064573C"/>
    <w:rsid w:val="006457A3"/>
    <w:rsid w:val="006477D7"/>
    <w:rsid w:val="0064791E"/>
    <w:rsid w:val="0065061A"/>
    <w:rsid w:val="00650F33"/>
    <w:rsid w:val="00651A04"/>
    <w:rsid w:val="00653700"/>
    <w:rsid w:val="006552F3"/>
    <w:rsid w:val="00655B90"/>
    <w:rsid w:val="00657034"/>
    <w:rsid w:val="00660056"/>
    <w:rsid w:val="00661B4F"/>
    <w:rsid w:val="0066230B"/>
    <w:rsid w:val="00666DED"/>
    <w:rsid w:val="00666ECC"/>
    <w:rsid w:val="00667E4A"/>
    <w:rsid w:val="00667FF8"/>
    <w:rsid w:val="0067142D"/>
    <w:rsid w:val="00673B27"/>
    <w:rsid w:val="00674AB7"/>
    <w:rsid w:val="00680611"/>
    <w:rsid w:val="006806D2"/>
    <w:rsid w:val="00682184"/>
    <w:rsid w:val="006839B6"/>
    <w:rsid w:val="00685CD9"/>
    <w:rsid w:val="0069221F"/>
    <w:rsid w:val="00692D3F"/>
    <w:rsid w:val="006935F6"/>
    <w:rsid w:val="00695E5A"/>
    <w:rsid w:val="006A00E0"/>
    <w:rsid w:val="006A1ED2"/>
    <w:rsid w:val="006A3144"/>
    <w:rsid w:val="006A50B2"/>
    <w:rsid w:val="006A741C"/>
    <w:rsid w:val="006B100C"/>
    <w:rsid w:val="006B3063"/>
    <w:rsid w:val="006B3506"/>
    <w:rsid w:val="006B3A86"/>
    <w:rsid w:val="006B3E73"/>
    <w:rsid w:val="006B540B"/>
    <w:rsid w:val="006B7488"/>
    <w:rsid w:val="006B74EC"/>
    <w:rsid w:val="006C0946"/>
    <w:rsid w:val="006C146E"/>
    <w:rsid w:val="006C2599"/>
    <w:rsid w:val="006C4E36"/>
    <w:rsid w:val="006C5579"/>
    <w:rsid w:val="006C557B"/>
    <w:rsid w:val="006C692D"/>
    <w:rsid w:val="006C7803"/>
    <w:rsid w:val="006C7898"/>
    <w:rsid w:val="006D169F"/>
    <w:rsid w:val="006D2AF7"/>
    <w:rsid w:val="006D36F0"/>
    <w:rsid w:val="006D4702"/>
    <w:rsid w:val="006D62AB"/>
    <w:rsid w:val="006D653E"/>
    <w:rsid w:val="006D7813"/>
    <w:rsid w:val="006D7C8C"/>
    <w:rsid w:val="006E035A"/>
    <w:rsid w:val="006E3BA7"/>
    <w:rsid w:val="006E4620"/>
    <w:rsid w:val="006E54DB"/>
    <w:rsid w:val="006E5D4B"/>
    <w:rsid w:val="006E65C8"/>
    <w:rsid w:val="006E6D3F"/>
    <w:rsid w:val="006E774D"/>
    <w:rsid w:val="006F03F6"/>
    <w:rsid w:val="006F0423"/>
    <w:rsid w:val="006F13F7"/>
    <w:rsid w:val="006F3FD1"/>
    <w:rsid w:val="006F6986"/>
    <w:rsid w:val="006F7815"/>
    <w:rsid w:val="006F7DFA"/>
    <w:rsid w:val="007025C2"/>
    <w:rsid w:val="0070304E"/>
    <w:rsid w:val="0070632C"/>
    <w:rsid w:val="00707583"/>
    <w:rsid w:val="007075E4"/>
    <w:rsid w:val="00710222"/>
    <w:rsid w:val="00710F7D"/>
    <w:rsid w:val="00714C0F"/>
    <w:rsid w:val="00715882"/>
    <w:rsid w:val="007162A4"/>
    <w:rsid w:val="007162CF"/>
    <w:rsid w:val="00716831"/>
    <w:rsid w:val="00721577"/>
    <w:rsid w:val="00723CBE"/>
    <w:rsid w:val="007242B8"/>
    <w:rsid w:val="00724B72"/>
    <w:rsid w:val="00724FC0"/>
    <w:rsid w:val="00725AC1"/>
    <w:rsid w:val="00725BB8"/>
    <w:rsid w:val="0072785A"/>
    <w:rsid w:val="00731200"/>
    <w:rsid w:val="007314BE"/>
    <w:rsid w:val="00733CBD"/>
    <w:rsid w:val="00736578"/>
    <w:rsid w:val="00736994"/>
    <w:rsid w:val="007416E5"/>
    <w:rsid w:val="007419A3"/>
    <w:rsid w:val="00745436"/>
    <w:rsid w:val="00745EA0"/>
    <w:rsid w:val="0075051F"/>
    <w:rsid w:val="0075095E"/>
    <w:rsid w:val="007515AA"/>
    <w:rsid w:val="00751F79"/>
    <w:rsid w:val="00752618"/>
    <w:rsid w:val="00752C8B"/>
    <w:rsid w:val="00753FF3"/>
    <w:rsid w:val="0075409C"/>
    <w:rsid w:val="007544E0"/>
    <w:rsid w:val="00754B6D"/>
    <w:rsid w:val="00755707"/>
    <w:rsid w:val="00756188"/>
    <w:rsid w:val="00760028"/>
    <w:rsid w:val="00763461"/>
    <w:rsid w:val="0076347A"/>
    <w:rsid w:val="007654B6"/>
    <w:rsid w:val="00765B8B"/>
    <w:rsid w:val="00765C9C"/>
    <w:rsid w:val="00766182"/>
    <w:rsid w:val="00766B72"/>
    <w:rsid w:val="0077063E"/>
    <w:rsid w:val="00771634"/>
    <w:rsid w:val="00772DA9"/>
    <w:rsid w:val="00773FC1"/>
    <w:rsid w:val="007740F3"/>
    <w:rsid w:val="007744A0"/>
    <w:rsid w:val="00775DEB"/>
    <w:rsid w:val="0077753A"/>
    <w:rsid w:val="0078188A"/>
    <w:rsid w:val="00783408"/>
    <w:rsid w:val="00784138"/>
    <w:rsid w:val="00784C2F"/>
    <w:rsid w:val="00785C5D"/>
    <w:rsid w:val="00785E50"/>
    <w:rsid w:val="0078609C"/>
    <w:rsid w:val="00786346"/>
    <w:rsid w:val="00786B16"/>
    <w:rsid w:val="00786E84"/>
    <w:rsid w:val="007873BC"/>
    <w:rsid w:val="00790D39"/>
    <w:rsid w:val="00792303"/>
    <w:rsid w:val="0079363D"/>
    <w:rsid w:val="00796852"/>
    <w:rsid w:val="00796E7E"/>
    <w:rsid w:val="00796EAD"/>
    <w:rsid w:val="007A06D7"/>
    <w:rsid w:val="007A33D7"/>
    <w:rsid w:val="007A362D"/>
    <w:rsid w:val="007A3DC8"/>
    <w:rsid w:val="007A4A7B"/>
    <w:rsid w:val="007A62F8"/>
    <w:rsid w:val="007A6475"/>
    <w:rsid w:val="007B17BA"/>
    <w:rsid w:val="007B2099"/>
    <w:rsid w:val="007B5002"/>
    <w:rsid w:val="007B6BD5"/>
    <w:rsid w:val="007B7865"/>
    <w:rsid w:val="007B78A1"/>
    <w:rsid w:val="007C0D10"/>
    <w:rsid w:val="007C0EF6"/>
    <w:rsid w:val="007C2897"/>
    <w:rsid w:val="007C2B2E"/>
    <w:rsid w:val="007C3F77"/>
    <w:rsid w:val="007C4447"/>
    <w:rsid w:val="007C64B6"/>
    <w:rsid w:val="007D0F37"/>
    <w:rsid w:val="007D4B10"/>
    <w:rsid w:val="007D4BFD"/>
    <w:rsid w:val="007D72C6"/>
    <w:rsid w:val="007E091B"/>
    <w:rsid w:val="007E16CC"/>
    <w:rsid w:val="007E369B"/>
    <w:rsid w:val="007E4185"/>
    <w:rsid w:val="007E5132"/>
    <w:rsid w:val="007E6C29"/>
    <w:rsid w:val="007E77C7"/>
    <w:rsid w:val="007F0576"/>
    <w:rsid w:val="007F3868"/>
    <w:rsid w:val="007F3BB4"/>
    <w:rsid w:val="007F3ED1"/>
    <w:rsid w:val="007F42D4"/>
    <w:rsid w:val="007F4D29"/>
    <w:rsid w:val="007F5620"/>
    <w:rsid w:val="007F5624"/>
    <w:rsid w:val="007F597B"/>
    <w:rsid w:val="007F687F"/>
    <w:rsid w:val="007F7EDE"/>
    <w:rsid w:val="0080149E"/>
    <w:rsid w:val="00801E8A"/>
    <w:rsid w:val="008026C2"/>
    <w:rsid w:val="008026D9"/>
    <w:rsid w:val="00803399"/>
    <w:rsid w:val="00806405"/>
    <w:rsid w:val="0080787C"/>
    <w:rsid w:val="00815728"/>
    <w:rsid w:val="00815B06"/>
    <w:rsid w:val="00815C95"/>
    <w:rsid w:val="0081606B"/>
    <w:rsid w:val="00817582"/>
    <w:rsid w:val="0082231D"/>
    <w:rsid w:val="0082246E"/>
    <w:rsid w:val="00822AF6"/>
    <w:rsid w:val="00822F77"/>
    <w:rsid w:val="00824601"/>
    <w:rsid w:val="00825E0C"/>
    <w:rsid w:val="008268D8"/>
    <w:rsid w:val="00827213"/>
    <w:rsid w:val="00827302"/>
    <w:rsid w:val="008301FB"/>
    <w:rsid w:val="00830315"/>
    <w:rsid w:val="0083219B"/>
    <w:rsid w:val="008331D3"/>
    <w:rsid w:val="00833B11"/>
    <w:rsid w:val="00837246"/>
    <w:rsid w:val="0084024A"/>
    <w:rsid w:val="00840251"/>
    <w:rsid w:val="00842461"/>
    <w:rsid w:val="0084449A"/>
    <w:rsid w:val="00845D97"/>
    <w:rsid w:val="00847D94"/>
    <w:rsid w:val="00851C45"/>
    <w:rsid w:val="0085269D"/>
    <w:rsid w:val="008539A2"/>
    <w:rsid w:val="00854C49"/>
    <w:rsid w:val="00855BE3"/>
    <w:rsid w:val="0085760C"/>
    <w:rsid w:val="00861627"/>
    <w:rsid w:val="00864CC3"/>
    <w:rsid w:val="00865AC9"/>
    <w:rsid w:val="00867271"/>
    <w:rsid w:val="008719E6"/>
    <w:rsid w:val="00873C90"/>
    <w:rsid w:val="0087431E"/>
    <w:rsid w:val="0087633E"/>
    <w:rsid w:val="0087712A"/>
    <w:rsid w:val="008801DE"/>
    <w:rsid w:val="00880BBD"/>
    <w:rsid w:val="00880CDB"/>
    <w:rsid w:val="00884ABD"/>
    <w:rsid w:val="00884E1F"/>
    <w:rsid w:val="008854E2"/>
    <w:rsid w:val="00885987"/>
    <w:rsid w:val="00885A8B"/>
    <w:rsid w:val="00885D45"/>
    <w:rsid w:val="00886BE9"/>
    <w:rsid w:val="008878DA"/>
    <w:rsid w:val="008879A9"/>
    <w:rsid w:val="008900CF"/>
    <w:rsid w:val="00891231"/>
    <w:rsid w:val="00893921"/>
    <w:rsid w:val="00895C91"/>
    <w:rsid w:val="0089740B"/>
    <w:rsid w:val="00897E69"/>
    <w:rsid w:val="008A1A5E"/>
    <w:rsid w:val="008A1BBD"/>
    <w:rsid w:val="008A47D8"/>
    <w:rsid w:val="008A5DF9"/>
    <w:rsid w:val="008A6238"/>
    <w:rsid w:val="008A7173"/>
    <w:rsid w:val="008A75C8"/>
    <w:rsid w:val="008B44DB"/>
    <w:rsid w:val="008B5E56"/>
    <w:rsid w:val="008B6D6C"/>
    <w:rsid w:val="008B76D4"/>
    <w:rsid w:val="008B77C3"/>
    <w:rsid w:val="008C0D6F"/>
    <w:rsid w:val="008C294A"/>
    <w:rsid w:val="008C39AB"/>
    <w:rsid w:val="008C7490"/>
    <w:rsid w:val="008C7E47"/>
    <w:rsid w:val="008D0F64"/>
    <w:rsid w:val="008D212E"/>
    <w:rsid w:val="008D2422"/>
    <w:rsid w:val="008D2603"/>
    <w:rsid w:val="008D598B"/>
    <w:rsid w:val="008D5ABE"/>
    <w:rsid w:val="008D6C6F"/>
    <w:rsid w:val="008D783C"/>
    <w:rsid w:val="008E1B17"/>
    <w:rsid w:val="008E1D43"/>
    <w:rsid w:val="008E32A6"/>
    <w:rsid w:val="008E5197"/>
    <w:rsid w:val="008E5B48"/>
    <w:rsid w:val="008E66A8"/>
    <w:rsid w:val="008F04E4"/>
    <w:rsid w:val="008F2826"/>
    <w:rsid w:val="008F41D7"/>
    <w:rsid w:val="008F4B0D"/>
    <w:rsid w:val="008F705E"/>
    <w:rsid w:val="008F723F"/>
    <w:rsid w:val="008F79C5"/>
    <w:rsid w:val="008F7E56"/>
    <w:rsid w:val="00900F5B"/>
    <w:rsid w:val="009021D8"/>
    <w:rsid w:val="00905DF1"/>
    <w:rsid w:val="0090625B"/>
    <w:rsid w:val="0090711E"/>
    <w:rsid w:val="009079E5"/>
    <w:rsid w:val="00911036"/>
    <w:rsid w:val="009118B1"/>
    <w:rsid w:val="009128E8"/>
    <w:rsid w:val="009136E4"/>
    <w:rsid w:val="00913E18"/>
    <w:rsid w:val="00915567"/>
    <w:rsid w:val="0091597D"/>
    <w:rsid w:val="009202A4"/>
    <w:rsid w:val="00926549"/>
    <w:rsid w:val="00926B86"/>
    <w:rsid w:val="0092782F"/>
    <w:rsid w:val="00927EBB"/>
    <w:rsid w:val="00927FD5"/>
    <w:rsid w:val="00930984"/>
    <w:rsid w:val="00930A0E"/>
    <w:rsid w:val="0093230E"/>
    <w:rsid w:val="00932717"/>
    <w:rsid w:val="00932F3E"/>
    <w:rsid w:val="00933332"/>
    <w:rsid w:val="009337CA"/>
    <w:rsid w:val="009347B0"/>
    <w:rsid w:val="00934EB3"/>
    <w:rsid w:val="009408A4"/>
    <w:rsid w:val="00941D08"/>
    <w:rsid w:val="00945720"/>
    <w:rsid w:val="00947C55"/>
    <w:rsid w:val="009501A2"/>
    <w:rsid w:val="0095068E"/>
    <w:rsid w:val="009508CB"/>
    <w:rsid w:val="00950B19"/>
    <w:rsid w:val="00955601"/>
    <w:rsid w:val="0095623A"/>
    <w:rsid w:val="009572A3"/>
    <w:rsid w:val="009615C3"/>
    <w:rsid w:val="00961A68"/>
    <w:rsid w:val="00963FC2"/>
    <w:rsid w:val="009642E4"/>
    <w:rsid w:val="00964A00"/>
    <w:rsid w:val="00964CD3"/>
    <w:rsid w:val="0096529D"/>
    <w:rsid w:val="00965A76"/>
    <w:rsid w:val="00965E56"/>
    <w:rsid w:val="0096604D"/>
    <w:rsid w:val="009661EB"/>
    <w:rsid w:val="00967ADC"/>
    <w:rsid w:val="009702B6"/>
    <w:rsid w:val="009715B4"/>
    <w:rsid w:val="00971F33"/>
    <w:rsid w:val="00973253"/>
    <w:rsid w:val="0097365D"/>
    <w:rsid w:val="00975306"/>
    <w:rsid w:val="00977879"/>
    <w:rsid w:val="00980C81"/>
    <w:rsid w:val="009816A6"/>
    <w:rsid w:val="009847D9"/>
    <w:rsid w:val="009851A6"/>
    <w:rsid w:val="00987068"/>
    <w:rsid w:val="00987477"/>
    <w:rsid w:val="00987E82"/>
    <w:rsid w:val="0099116B"/>
    <w:rsid w:val="009921D4"/>
    <w:rsid w:val="00995676"/>
    <w:rsid w:val="00995B21"/>
    <w:rsid w:val="009A03CC"/>
    <w:rsid w:val="009A04C9"/>
    <w:rsid w:val="009A05F2"/>
    <w:rsid w:val="009A0893"/>
    <w:rsid w:val="009A0CDD"/>
    <w:rsid w:val="009A1563"/>
    <w:rsid w:val="009A49F8"/>
    <w:rsid w:val="009A4A2A"/>
    <w:rsid w:val="009A5745"/>
    <w:rsid w:val="009A739C"/>
    <w:rsid w:val="009A75BF"/>
    <w:rsid w:val="009A772E"/>
    <w:rsid w:val="009A77FF"/>
    <w:rsid w:val="009A787A"/>
    <w:rsid w:val="009B1B5C"/>
    <w:rsid w:val="009B3768"/>
    <w:rsid w:val="009B3904"/>
    <w:rsid w:val="009B45B8"/>
    <w:rsid w:val="009B46DD"/>
    <w:rsid w:val="009B55BC"/>
    <w:rsid w:val="009B7861"/>
    <w:rsid w:val="009C2143"/>
    <w:rsid w:val="009C216B"/>
    <w:rsid w:val="009C2BA5"/>
    <w:rsid w:val="009C61C3"/>
    <w:rsid w:val="009C6357"/>
    <w:rsid w:val="009C758A"/>
    <w:rsid w:val="009C7F9A"/>
    <w:rsid w:val="009D17B9"/>
    <w:rsid w:val="009D1B65"/>
    <w:rsid w:val="009D1FFB"/>
    <w:rsid w:val="009D36C6"/>
    <w:rsid w:val="009D3C77"/>
    <w:rsid w:val="009D3E90"/>
    <w:rsid w:val="009D4314"/>
    <w:rsid w:val="009D4D93"/>
    <w:rsid w:val="009D5D98"/>
    <w:rsid w:val="009D6302"/>
    <w:rsid w:val="009D6A93"/>
    <w:rsid w:val="009D71C7"/>
    <w:rsid w:val="009E0526"/>
    <w:rsid w:val="009E43BB"/>
    <w:rsid w:val="009E49E5"/>
    <w:rsid w:val="009E509F"/>
    <w:rsid w:val="009E52DC"/>
    <w:rsid w:val="009E5F36"/>
    <w:rsid w:val="009E6808"/>
    <w:rsid w:val="009E7B57"/>
    <w:rsid w:val="009E7F7F"/>
    <w:rsid w:val="009F0766"/>
    <w:rsid w:val="009F0E3A"/>
    <w:rsid w:val="009F2BCF"/>
    <w:rsid w:val="009F3647"/>
    <w:rsid w:val="009F4438"/>
    <w:rsid w:val="009F7CC6"/>
    <w:rsid w:val="00A0120B"/>
    <w:rsid w:val="00A02CF9"/>
    <w:rsid w:val="00A045F2"/>
    <w:rsid w:val="00A0654A"/>
    <w:rsid w:val="00A11F17"/>
    <w:rsid w:val="00A13AB5"/>
    <w:rsid w:val="00A16553"/>
    <w:rsid w:val="00A16FCE"/>
    <w:rsid w:val="00A17C26"/>
    <w:rsid w:val="00A21800"/>
    <w:rsid w:val="00A227A9"/>
    <w:rsid w:val="00A23567"/>
    <w:rsid w:val="00A247DD"/>
    <w:rsid w:val="00A30498"/>
    <w:rsid w:val="00A32F36"/>
    <w:rsid w:val="00A3489D"/>
    <w:rsid w:val="00A35DE2"/>
    <w:rsid w:val="00A3667C"/>
    <w:rsid w:val="00A3791C"/>
    <w:rsid w:val="00A4055A"/>
    <w:rsid w:val="00A41AD9"/>
    <w:rsid w:val="00A44B27"/>
    <w:rsid w:val="00A47934"/>
    <w:rsid w:val="00A5036F"/>
    <w:rsid w:val="00A50DC3"/>
    <w:rsid w:val="00A512EF"/>
    <w:rsid w:val="00A5144F"/>
    <w:rsid w:val="00A52692"/>
    <w:rsid w:val="00A52892"/>
    <w:rsid w:val="00A53991"/>
    <w:rsid w:val="00A539FF"/>
    <w:rsid w:val="00A53AF2"/>
    <w:rsid w:val="00A54105"/>
    <w:rsid w:val="00A57F12"/>
    <w:rsid w:val="00A60323"/>
    <w:rsid w:val="00A60562"/>
    <w:rsid w:val="00A60896"/>
    <w:rsid w:val="00A623BE"/>
    <w:rsid w:val="00A63A2C"/>
    <w:rsid w:val="00A645BE"/>
    <w:rsid w:val="00A646AD"/>
    <w:rsid w:val="00A647D9"/>
    <w:rsid w:val="00A65AD4"/>
    <w:rsid w:val="00A662B4"/>
    <w:rsid w:val="00A70AB2"/>
    <w:rsid w:val="00A714BD"/>
    <w:rsid w:val="00A71C7C"/>
    <w:rsid w:val="00A72276"/>
    <w:rsid w:val="00A73BC5"/>
    <w:rsid w:val="00A744EC"/>
    <w:rsid w:val="00A816C7"/>
    <w:rsid w:val="00A821A1"/>
    <w:rsid w:val="00A835C8"/>
    <w:rsid w:val="00A858DA"/>
    <w:rsid w:val="00A86A42"/>
    <w:rsid w:val="00A90BE9"/>
    <w:rsid w:val="00A9167E"/>
    <w:rsid w:val="00A92857"/>
    <w:rsid w:val="00A92A9E"/>
    <w:rsid w:val="00A93E3B"/>
    <w:rsid w:val="00A94E08"/>
    <w:rsid w:val="00A96D69"/>
    <w:rsid w:val="00AA147E"/>
    <w:rsid w:val="00AA24B1"/>
    <w:rsid w:val="00AA34B0"/>
    <w:rsid w:val="00AA4452"/>
    <w:rsid w:val="00AA4B9B"/>
    <w:rsid w:val="00AA4BE4"/>
    <w:rsid w:val="00AA62D4"/>
    <w:rsid w:val="00AA7BA2"/>
    <w:rsid w:val="00AB0542"/>
    <w:rsid w:val="00AB1D74"/>
    <w:rsid w:val="00AB2C60"/>
    <w:rsid w:val="00AB5C7D"/>
    <w:rsid w:val="00AB6A67"/>
    <w:rsid w:val="00AB7739"/>
    <w:rsid w:val="00AC005C"/>
    <w:rsid w:val="00AC021A"/>
    <w:rsid w:val="00AC0B01"/>
    <w:rsid w:val="00AC16EB"/>
    <w:rsid w:val="00AC24A7"/>
    <w:rsid w:val="00AC25F2"/>
    <w:rsid w:val="00AC2E4D"/>
    <w:rsid w:val="00AC2FE6"/>
    <w:rsid w:val="00AC6055"/>
    <w:rsid w:val="00AD1D04"/>
    <w:rsid w:val="00AD26A1"/>
    <w:rsid w:val="00AD2CCE"/>
    <w:rsid w:val="00AD31EE"/>
    <w:rsid w:val="00AD3623"/>
    <w:rsid w:val="00AD3D15"/>
    <w:rsid w:val="00AD449F"/>
    <w:rsid w:val="00AD45C5"/>
    <w:rsid w:val="00AD4EA0"/>
    <w:rsid w:val="00AD56CD"/>
    <w:rsid w:val="00AD5832"/>
    <w:rsid w:val="00AD5909"/>
    <w:rsid w:val="00AD5A37"/>
    <w:rsid w:val="00AD60ED"/>
    <w:rsid w:val="00AD66B3"/>
    <w:rsid w:val="00AD68C5"/>
    <w:rsid w:val="00AD7064"/>
    <w:rsid w:val="00AE121A"/>
    <w:rsid w:val="00AE2F3A"/>
    <w:rsid w:val="00AE304F"/>
    <w:rsid w:val="00AE314F"/>
    <w:rsid w:val="00AE742D"/>
    <w:rsid w:val="00AF1181"/>
    <w:rsid w:val="00AF1D3E"/>
    <w:rsid w:val="00AF2550"/>
    <w:rsid w:val="00AF2732"/>
    <w:rsid w:val="00AF50E5"/>
    <w:rsid w:val="00B0089C"/>
    <w:rsid w:val="00B0164E"/>
    <w:rsid w:val="00B01ACD"/>
    <w:rsid w:val="00B0297B"/>
    <w:rsid w:val="00B02F3F"/>
    <w:rsid w:val="00B03B48"/>
    <w:rsid w:val="00B0565C"/>
    <w:rsid w:val="00B057B8"/>
    <w:rsid w:val="00B065D9"/>
    <w:rsid w:val="00B07B64"/>
    <w:rsid w:val="00B1181D"/>
    <w:rsid w:val="00B11DEA"/>
    <w:rsid w:val="00B12EAC"/>
    <w:rsid w:val="00B12FFB"/>
    <w:rsid w:val="00B15170"/>
    <w:rsid w:val="00B16111"/>
    <w:rsid w:val="00B20993"/>
    <w:rsid w:val="00B20B14"/>
    <w:rsid w:val="00B233D8"/>
    <w:rsid w:val="00B2564E"/>
    <w:rsid w:val="00B25985"/>
    <w:rsid w:val="00B27EA8"/>
    <w:rsid w:val="00B31FFC"/>
    <w:rsid w:val="00B32958"/>
    <w:rsid w:val="00B32D76"/>
    <w:rsid w:val="00B336DE"/>
    <w:rsid w:val="00B33939"/>
    <w:rsid w:val="00B3734F"/>
    <w:rsid w:val="00B41778"/>
    <w:rsid w:val="00B432EF"/>
    <w:rsid w:val="00B44C23"/>
    <w:rsid w:val="00B51C3C"/>
    <w:rsid w:val="00B538B1"/>
    <w:rsid w:val="00B559F6"/>
    <w:rsid w:val="00B56B3A"/>
    <w:rsid w:val="00B56B94"/>
    <w:rsid w:val="00B611FD"/>
    <w:rsid w:val="00B620B2"/>
    <w:rsid w:val="00B642F3"/>
    <w:rsid w:val="00B64D83"/>
    <w:rsid w:val="00B66169"/>
    <w:rsid w:val="00B67196"/>
    <w:rsid w:val="00B718E5"/>
    <w:rsid w:val="00B72D80"/>
    <w:rsid w:val="00B75EE5"/>
    <w:rsid w:val="00B7678B"/>
    <w:rsid w:val="00B8011E"/>
    <w:rsid w:val="00B81366"/>
    <w:rsid w:val="00B81D11"/>
    <w:rsid w:val="00B820C1"/>
    <w:rsid w:val="00B85196"/>
    <w:rsid w:val="00B853D2"/>
    <w:rsid w:val="00B91293"/>
    <w:rsid w:val="00B914A2"/>
    <w:rsid w:val="00B9321C"/>
    <w:rsid w:val="00B93276"/>
    <w:rsid w:val="00B93A88"/>
    <w:rsid w:val="00B97975"/>
    <w:rsid w:val="00BA1627"/>
    <w:rsid w:val="00BA2560"/>
    <w:rsid w:val="00BA4DBA"/>
    <w:rsid w:val="00BA5DB1"/>
    <w:rsid w:val="00BA7316"/>
    <w:rsid w:val="00BA75ED"/>
    <w:rsid w:val="00BB0EBD"/>
    <w:rsid w:val="00BB1CF3"/>
    <w:rsid w:val="00BB44C0"/>
    <w:rsid w:val="00BB4548"/>
    <w:rsid w:val="00BB4E93"/>
    <w:rsid w:val="00BB73E0"/>
    <w:rsid w:val="00BC1B58"/>
    <w:rsid w:val="00BC1E8C"/>
    <w:rsid w:val="00BC30D0"/>
    <w:rsid w:val="00BC5DBA"/>
    <w:rsid w:val="00BC74D8"/>
    <w:rsid w:val="00BD0555"/>
    <w:rsid w:val="00BD2104"/>
    <w:rsid w:val="00BD2944"/>
    <w:rsid w:val="00BD2C26"/>
    <w:rsid w:val="00BD45D9"/>
    <w:rsid w:val="00BD5241"/>
    <w:rsid w:val="00BD54A8"/>
    <w:rsid w:val="00BD7D3A"/>
    <w:rsid w:val="00BE0CB2"/>
    <w:rsid w:val="00BE11C0"/>
    <w:rsid w:val="00BE19F5"/>
    <w:rsid w:val="00BE4B9C"/>
    <w:rsid w:val="00BE4BE9"/>
    <w:rsid w:val="00BE4D21"/>
    <w:rsid w:val="00BE5189"/>
    <w:rsid w:val="00BE727D"/>
    <w:rsid w:val="00BF257A"/>
    <w:rsid w:val="00BF25B3"/>
    <w:rsid w:val="00BF4DD1"/>
    <w:rsid w:val="00BF60FD"/>
    <w:rsid w:val="00BF7C5B"/>
    <w:rsid w:val="00BF7CDA"/>
    <w:rsid w:val="00C00B72"/>
    <w:rsid w:val="00C00C8B"/>
    <w:rsid w:val="00C00D14"/>
    <w:rsid w:val="00C01CE0"/>
    <w:rsid w:val="00C01D07"/>
    <w:rsid w:val="00C02220"/>
    <w:rsid w:val="00C031D8"/>
    <w:rsid w:val="00C05159"/>
    <w:rsid w:val="00C05CCD"/>
    <w:rsid w:val="00C065AF"/>
    <w:rsid w:val="00C07DDE"/>
    <w:rsid w:val="00C07E19"/>
    <w:rsid w:val="00C10566"/>
    <w:rsid w:val="00C10722"/>
    <w:rsid w:val="00C10DE5"/>
    <w:rsid w:val="00C1141F"/>
    <w:rsid w:val="00C11A04"/>
    <w:rsid w:val="00C13CC9"/>
    <w:rsid w:val="00C150A8"/>
    <w:rsid w:val="00C1563F"/>
    <w:rsid w:val="00C168D0"/>
    <w:rsid w:val="00C16C61"/>
    <w:rsid w:val="00C17CCB"/>
    <w:rsid w:val="00C21A0A"/>
    <w:rsid w:val="00C21E58"/>
    <w:rsid w:val="00C23C6C"/>
    <w:rsid w:val="00C2640F"/>
    <w:rsid w:val="00C30C9D"/>
    <w:rsid w:val="00C31098"/>
    <w:rsid w:val="00C317A6"/>
    <w:rsid w:val="00C31B18"/>
    <w:rsid w:val="00C31B23"/>
    <w:rsid w:val="00C32782"/>
    <w:rsid w:val="00C331C9"/>
    <w:rsid w:val="00C33373"/>
    <w:rsid w:val="00C35E90"/>
    <w:rsid w:val="00C3649A"/>
    <w:rsid w:val="00C37AD4"/>
    <w:rsid w:val="00C41188"/>
    <w:rsid w:val="00C42F23"/>
    <w:rsid w:val="00C4702E"/>
    <w:rsid w:val="00C47236"/>
    <w:rsid w:val="00C5003A"/>
    <w:rsid w:val="00C5012D"/>
    <w:rsid w:val="00C50825"/>
    <w:rsid w:val="00C50A72"/>
    <w:rsid w:val="00C52C28"/>
    <w:rsid w:val="00C603DC"/>
    <w:rsid w:val="00C64A44"/>
    <w:rsid w:val="00C6710C"/>
    <w:rsid w:val="00C70BE3"/>
    <w:rsid w:val="00C70E26"/>
    <w:rsid w:val="00C7298B"/>
    <w:rsid w:val="00C72FC6"/>
    <w:rsid w:val="00C735A3"/>
    <w:rsid w:val="00C73FA4"/>
    <w:rsid w:val="00C749BF"/>
    <w:rsid w:val="00C752E1"/>
    <w:rsid w:val="00C761AC"/>
    <w:rsid w:val="00C772EC"/>
    <w:rsid w:val="00C829A9"/>
    <w:rsid w:val="00C840B4"/>
    <w:rsid w:val="00C842D5"/>
    <w:rsid w:val="00C84FFD"/>
    <w:rsid w:val="00C858F5"/>
    <w:rsid w:val="00C86612"/>
    <w:rsid w:val="00C86AB6"/>
    <w:rsid w:val="00C87B17"/>
    <w:rsid w:val="00C87D1F"/>
    <w:rsid w:val="00C9066C"/>
    <w:rsid w:val="00C90B20"/>
    <w:rsid w:val="00C9108B"/>
    <w:rsid w:val="00C93CA8"/>
    <w:rsid w:val="00C941AB"/>
    <w:rsid w:val="00C94E6C"/>
    <w:rsid w:val="00C9531B"/>
    <w:rsid w:val="00C95494"/>
    <w:rsid w:val="00C97B29"/>
    <w:rsid w:val="00CA054A"/>
    <w:rsid w:val="00CA3C0E"/>
    <w:rsid w:val="00CA3C43"/>
    <w:rsid w:val="00CA441A"/>
    <w:rsid w:val="00CA6F6C"/>
    <w:rsid w:val="00CA7932"/>
    <w:rsid w:val="00CA7969"/>
    <w:rsid w:val="00CB1006"/>
    <w:rsid w:val="00CB3914"/>
    <w:rsid w:val="00CB3DB2"/>
    <w:rsid w:val="00CB46AF"/>
    <w:rsid w:val="00CB52EC"/>
    <w:rsid w:val="00CB6160"/>
    <w:rsid w:val="00CB6256"/>
    <w:rsid w:val="00CB6289"/>
    <w:rsid w:val="00CB7AFB"/>
    <w:rsid w:val="00CC0B14"/>
    <w:rsid w:val="00CC435E"/>
    <w:rsid w:val="00CC4414"/>
    <w:rsid w:val="00CC4878"/>
    <w:rsid w:val="00CC50C4"/>
    <w:rsid w:val="00CC62CE"/>
    <w:rsid w:val="00CC6AC7"/>
    <w:rsid w:val="00CC78AA"/>
    <w:rsid w:val="00CD06CA"/>
    <w:rsid w:val="00CD3843"/>
    <w:rsid w:val="00CD59BB"/>
    <w:rsid w:val="00CD699E"/>
    <w:rsid w:val="00CE1A5E"/>
    <w:rsid w:val="00CE2A32"/>
    <w:rsid w:val="00CE2C6D"/>
    <w:rsid w:val="00CE3002"/>
    <w:rsid w:val="00CE3FE7"/>
    <w:rsid w:val="00CE47F1"/>
    <w:rsid w:val="00CE5F59"/>
    <w:rsid w:val="00CE67D4"/>
    <w:rsid w:val="00CE6928"/>
    <w:rsid w:val="00CE698C"/>
    <w:rsid w:val="00CE6D3D"/>
    <w:rsid w:val="00CF0307"/>
    <w:rsid w:val="00CF2031"/>
    <w:rsid w:val="00CF3C63"/>
    <w:rsid w:val="00CF417A"/>
    <w:rsid w:val="00CF4311"/>
    <w:rsid w:val="00CF4471"/>
    <w:rsid w:val="00CF4680"/>
    <w:rsid w:val="00CF4F8C"/>
    <w:rsid w:val="00CF5628"/>
    <w:rsid w:val="00CF5A22"/>
    <w:rsid w:val="00D009E5"/>
    <w:rsid w:val="00D009F7"/>
    <w:rsid w:val="00D02999"/>
    <w:rsid w:val="00D0312F"/>
    <w:rsid w:val="00D0399F"/>
    <w:rsid w:val="00D040D8"/>
    <w:rsid w:val="00D048F8"/>
    <w:rsid w:val="00D0553C"/>
    <w:rsid w:val="00D148E3"/>
    <w:rsid w:val="00D14FBC"/>
    <w:rsid w:val="00D150D3"/>
    <w:rsid w:val="00D15679"/>
    <w:rsid w:val="00D16156"/>
    <w:rsid w:val="00D17AC6"/>
    <w:rsid w:val="00D17FE9"/>
    <w:rsid w:val="00D20583"/>
    <w:rsid w:val="00D2185F"/>
    <w:rsid w:val="00D21B53"/>
    <w:rsid w:val="00D21DD6"/>
    <w:rsid w:val="00D22691"/>
    <w:rsid w:val="00D249C1"/>
    <w:rsid w:val="00D24FB2"/>
    <w:rsid w:val="00D25D13"/>
    <w:rsid w:val="00D25ED9"/>
    <w:rsid w:val="00D26993"/>
    <w:rsid w:val="00D27721"/>
    <w:rsid w:val="00D27A7B"/>
    <w:rsid w:val="00D304DB"/>
    <w:rsid w:val="00D325CA"/>
    <w:rsid w:val="00D327F3"/>
    <w:rsid w:val="00D32B5F"/>
    <w:rsid w:val="00D34F8C"/>
    <w:rsid w:val="00D35B63"/>
    <w:rsid w:val="00D3616C"/>
    <w:rsid w:val="00D36793"/>
    <w:rsid w:val="00D373EB"/>
    <w:rsid w:val="00D415DC"/>
    <w:rsid w:val="00D41C39"/>
    <w:rsid w:val="00D424ED"/>
    <w:rsid w:val="00D434F5"/>
    <w:rsid w:val="00D5187A"/>
    <w:rsid w:val="00D5433F"/>
    <w:rsid w:val="00D54A6A"/>
    <w:rsid w:val="00D558B0"/>
    <w:rsid w:val="00D5725A"/>
    <w:rsid w:val="00D6036E"/>
    <w:rsid w:val="00D6077D"/>
    <w:rsid w:val="00D60F09"/>
    <w:rsid w:val="00D6238A"/>
    <w:rsid w:val="00D62FF2"/>
    <w:rsid w:val="00D658EF"/>
    <w:rsid w:val="00D65C7F"/>
    <w:rsid w:val="00D7055D"/>
    <w:rsid w:val="00D705A2"/>
    <w:rsid w:val="00D73232"/>
    <w:rsid w:val="00D73A87"/>
    <w:rsid w:val="00D743C8"/>
    <w:rsid w:val="00D7574C"/>
    <w:rsid w:val="00D762F2"/>
    <w:rsid w:val="00D76F64"/>
    <w:rsid w:val="00D770DF"/>
    <w:rsid w:val="00D80506"/>
    <w:rsid w:val="00D807A4"/>
    <w:rsid w:val="00D847FD"/>
    <w:rsid w:val="00D84884"/>
    <w:rsid w:val="00D86A65"/>
    <w:rsid w:val="00D879B0"/>
    <w:rsid w:val="00D9010A"/>
    <w:rsid w:val="00D9052B"/>
    <w:rsid w:val="00D90B9E"/>
    <w:rsid w:val="00D91195"/>
    <w:rsid w:val="00D91BF3"/>
    <w:rsid w:val="00D92F4A"/>
    <w:rsid w:val="00D93D18"/>
    <w:rsid w:val="00D95558"/>
    <w:rsid w:val="00DA00AA"/>
    <w:rsid w:val="00DA1189"/>
    <w:rsid w:val="00DA2A9D"/>
    <w:rsid w:val="00DA40E4"/>
    <w:rsid w:val="00DA452A"/>
    <w:rsid w:val="00DA6815"/>
    <w:rsid w:val="00DA758F"/>
    <w:rsid w:val="00DA7DBB"/>
    <w:rsid w:val="00DB1D89"/>
    <w:rsid w:val="00DB4A20"/>
    <w:rsid w:val="00DC41D9"/>
    <w:rsid w:val="00DC49D9"/>
    <w:rsid w:val="00DD0CC4"/>
    <w:rsid w:val="00DD4916"/>
    <w:rsid w:val="00DD4AB9"/>
    <w:rsid w:val="00DD570A"/>
    <w:rsid w:val="00DD5AAE"/>
    <w:rsid w:val="00DD652B"/>
    <w:rsid w:val="00DD6868"/>
    <w:rsid w:val="00DD740D"/>
    <w:rsid w:val="00DE0C37"/>
    <w:rsid w:val="00DE0E1E"/>
    <w:rsid w:val="00DE10AB"/>
    <w:rsid w:val="00DE176B"/>
    <w:rsid w:val="00DE1A43"/>
    <w:rsid w:val="00DE2DE9"/>
    <w:rsid w:val="00DE46FC"/>
    <w:rsid w:val="00DE4E32"/>
    <w:rsid w:val="00DE5637"/>
    <w:rsid w:val="00DE76F0"/>
    <w:rsid w:val="00DE7F8E"/>
    <w:rsid w:val="00DF0D20"/>
    <w:rsid w:val="00DF17E8"/>
    <w:rsid w:val="00DF21D7"/>
    <w:rsid w:val="00DF2CB6"/>
    <w:rsid w:val="00DF2FBE"/>
    <w:rsid w:val="00DF5381"/>
    <w:rsid w:val="00DF7E59"/>
    <w:rsid w:val="00DF7F92"/>
    <w:rsid w:val="00E01E86"/>
    <w:rsid w:val="00E02E9E"/>
    <w:rsid w:val="00E0650F"/>
    <w:rsid w:val="00E06E7D"/>
    <w:rsid w:val="00E06E92"/>
    <w:rsid w:val="00E103DF"/>
    <w:rsid w:val="00E10FE9"/>
    <w:rsid w:val="00E11234"/>
    <w:rsid w:val="00E13CF2"/>
    <w:rsid w:val="00E14729"/>
    <w:rsid w:val="00E21780"/>
    <w:rsid w:val="00E21C8C"/>
    <w:rsid w:val="00E22EF1"/>
    <w:rsid w:val="00E23F52"/>
    <w:rsid w:val="00E27760"/>
    <w:rsid w:val="00E2796B"/>
    <w:rsid w:val="00E30079"/>
    <w:rsid w:val="00E30453"/>
    <w:rsid w:val="00E30D16"/>
    <w:rsid w:val="00E3178B"/>
    <w:rsid w:val="00E31931"/>
    <w:rsid w:val="00E32912"/>
    <w:rsid w:val="00E330CA"/>
    <w:rsid w:val="00E36109"/>
    <w:rsid w:val="00E36D4E"/>
    <w:rsid w:val="00E37C9F"/>
    <w:rsid w:val="00E408A1"/>
    <w:rsid w:val="00E41128"/>
    <w:rsid w:val="00E426A2"/>
    <w:rsid w:val="00E43A06"/>
    <w:rsid w:val="00E43B5F"/>
    <w:rsid w:val="00E44F6E"/>
    <w:rsid w:val="00E46CCD"/>
    <w:rsid w:val="00E501DE"/>
    <w:rsid w:val="00E50255"/>
    <w:rsid w:val="00E50623"/>
    <w:rsid w:val="00E519A0"/>
    <w:rsid w:val="00E528AF"/>
    <w:rsid w:val="00E562E8"/>
    <w:rsid w:val="00E56AC2"/>
    <w:rsid w:val="00E56BF6"/>
    <w:rsid w:val="00E56DFB"/>
    <w:rsid w:val="00E61DFD"/>
    <w:rsid w:val="00E6216C"/>
    <w:rsid w:val="00E624D4"/>
    <w:rsid w:val="00E63D53"/>
    <w:rsid w:val="00E64BA4"/>
    <w:rsid w:val="00E66B48"/>
    <w:rsid w:val="00E708DE"/>
    <w:rsid w:val="00E738C9"/>
    <w:rsid w:val="00E73D91"/>
    <w:rsid w:val="00E756C0"/>
    <w:rsid w:val="00E75910"/>
    <w:rsid w:val="00E77047"/>
    <w:rsid w:val="00E77271"/>
    <w:rsid w:val="00E81327"/>
    <w:rsid w:val="00E8140C"/>
    <w:rsid w:val="00E82C0F"/>
    <w:rsid w:val="00E8315E"/>
    <w:rsid w:val="00E845E7"/>
    <w:rsid w:val="00E8672B"/>
    <w:rsid w:val="00E86C3E"/>
    <w:rsid w:val="00E93A0B"/>
    <w:rsid w:val="00E93A3F"/>
    <w:rsid w:val="00E97796"/>
    <w:rsid w:val="00E97D2B"/>
    <w:rsid w:val="00EA0403"/>
    <w:rsid w:val="00EA32EB"/>
    <w:rsid w:val="00EA4553"/>
    <w:rsid w:val="00EA461C"/>
    <w:rsid w:val="00EA74B4"/>
    <w:rsid w:val="00EB1467"/>
    <w:rsid w:val="00EB1C8E"/>
    <w:rsid w:val="00EB1FA1"/>
    <w:rsid w:val="00EB2553"/>
    <w:rsid w:val="00EB267B"/>
    <w:rsid w:val="00EB27B3"/>
    <w:rsid w:val="00EB2BEE"/>
    <w:rsid w:val="00EB3930"/>
    <w:rsid w:val="00EB4690"/>
    <w:rsid w:val="00EB4768"/>
    <w:rsid w:val="00EB4D74"/>
    <w:rsid w:val="00EB5287"/>
    <w:rsid w:val="00EB58A5"/>
    <w:rsid w:val="00EB651A"/>
    <w:rsid w:val="00EB657D"/>
    <w:rsid w:val="00EC05BF"/>
    <w:rsid w:val="00EC1434"/>
    <w:rsid w:val="00EC19A5"/>
    <w:rsid w:val="00EC19B3"/>
    <w:rsid w:val="00EC4923"/>
    <w:rsid w:val="00EC5C6A"/>
    <w:rsid w:val="00EC7AF1"/>
    <w:rsid w:val="00ED0578"/>
    <w:rsid w:val="00ED0603"/>
    <w:rsid w:val="00ED1BB0"/>
    <w:rsid w:val="00ED42E4"/>
    <w:rsid w:val="00ED50D0"/>
    <w:rsid w:val="00ED5953"/>
    <w:rsid w:val="00ED671A"/>
    <w:rsid w:val="00ED6736"/>
    <w:rsid w:val="00ED6A65"/>
    <w:rsid w:val="00EE0A7A"/>
    <w:rsid w:val="00EE0E55"/>
    <w:rsid w:val="00EE20F7"/>
    <w:rsid w:val="00EE42C3"/>
    <w:rsid w:val="00EE6137"/>
    <w:rsid w:val="00EE675A"/>
    <w:rsid w:val="00EE68FE"/>
    <w:rsid w:val="00EF0119"/>
    <w:rsid w:val="00EF02ED"/>
    <w:rsid w:val="00EF10E9"/>
    <w:rsid w:val="00EF2379"/>
    <w:rsid w:val="00EF2CCB"/>
    <w:rsid w:val="00EF422A"/>
    <w:rsid w:val="00EF72AD"/>
    <w:rsid w:val="00EF7509"/>
    <w:rsid w:val="00EF770B"/>
    <w:rsid w:val="00EF7F39"/>
    <w:rsid w:val="00F00B44"/>
    <w:rsid w:val="00F00C38"/>
    <w:rsid w:val="00F031B8"/>
    <w:rsid w:val="00F04DED"/>
    <w:rsid w:val="00F0546C"/>
    <w:rsid w:val="00F06896"/>
    <w:rsid w:val="00F074B5"/>
    <w:rsid w:val="00F076C2"/>
    <w:rsid w:val="00F13435"/>
    <w:rsid w:val="00F13837"/>
    <w:rsid w:val="00F13DE5"/>
    <w:rsid w:val="00F15288"/>
    <w:rsid w:val="00F16816"/>
    <w:rsid w:val="00F21563"/>
    <w:rsid w:val="00F215CF"/>
    <w:rsid w:val="00F22112"/>
    <w:rsid w:val="00F22A15"/>
    <w:rsid w:val="00F2417C"/>
    <w:rsid w:val="00F24C03"/>
    <w:rsid w:val="00F2501A"/>
    <w:rsid w:val="00F25094"/>
    <w:rsid w:val="00F26828"/>
    <w:rsid w:val="00F30712"/>
    <w:rsid w:val="00F315AC"/>
    <w:rsid w:val="00F319D0"/>
    <w:rsid w:val="00F36318"/>
    <w:rsid w:val="00F41213"/>
    <w:rsid w:val="00F41C8A"/>
    <w:rsid w:val="00F451C0"/>
    <w:rsid w:val="00F46484"/>
    <w:rsid w:val="00F464BD"/>
    <w:rsid w:val="00F47FEA"/>
    <w:rsid w:val="00F502EB"/>
    <w:rsid w:val="00F511C4"/>
    <w:rsid w:val="00F5264F"/>
    <w:rsid w:val="00F55A4E"/>
    <w:rsid w:val="00F563E2"/>
    <w:rsid w:val="00F5643A"/>
    <w:rsid w:val="00F56BD6"/>
    <w:rsid w:val="00F6067F"/>
    <w:rsid w:val="00F61DC8"/>
    <w:rsid w:val="00F62BEE"/>
    <w:rsid w:val="00F632A3"/>
    <w:rsid w:val="00F63402"/>
    <w:rsid w:val="00F63738"/>
    <w:rsid w:val="00F6439D"/>
    <w:rsid w:val="00F64543"/>
    <w:rsid w:val="00F65B57"/>
    <w:rsid w:val="00F677BC"/>
    <w:rsid w:val="00F67EAA"/>
    <w:rsid w:val="00F70046"/>
    <w:rsid w:val="00F71E92"/>
    <w:rsid w:val="00F71EE1"/>
    <w:rsid w:val="00F72E7A"/>
    <w:rsid w:val="00F732FE"/>
    <w:rsid w:val="00F73718"/>
    <w:rsid w:val="00F743AB"/>
    <w:rsid w:val="00F753D2"/>
    <w:rsid w:val="00F76CBC"/>
    <w:rsid w:val="00F77361"/>
    <w:rsid w:val="00F778C4"/>
    <w:rsid w:val="00F77D33"/>
    <w:rsid w:val="00F80587"/>
    <w:rsid w:val="00F81FD8"/>
    <w:rsid w:val="00F824FB"/>
    <w:rsid w:val="00F82D42"/>
    <w:rsid w:val="00F83F4E"/>
    <w:rsid w:val="00F8426C"/>
    <w:rsid w:val="00F845B2"/>
    <w:rsid w:val="00F853A4"/>
    <w:rsid w:val="00F85473"/>
    <w:rsid w:val="00F8597A"/>
    <w:rsid w:val="00F85CFF"/>
    <w:rsid w:val="00F909A2"/>
    <w:rsid w:val="00F90A98"/>
    <w:rsid w:val="00F90D87"/>
    <w:rsid w:val="00F918A8"/>
    <w:rsid w:val="00F91DF7"/>
    <w:rsid w:val="00F95A8A"/>
    <w:rsid w:val="00F97068"/>
    <w:rsid w:val="00FA0B78"/>
    <w:rsid w:val="00FA0BBB"/>
    <w:rsid w:val="00FA0FFB"/>
    <w:rsid w:val="00FA27C7"/>
    <w:rsid w:val="00FA3A02"/>
    <w:rsid w:val="00FA51E6"/>
    <w:rsid w:val="00FA52AB"/>
    <w:rsid w:val="00FA7B92"/>
    <w:rsid w:val="00FB0706"/>
    <w:rsid w:val="00FB1C8D"/>
    <w:rsid w:val="00FB1ECF"/>
    <w:rsid w:val="00FB4E92"/>
    <w:rsid w:val="00FB56B9"/>
    <w:rsid w:val="00FB5A36"/>
    <w:rsid w:val="00FB6A3C"/>
    <w:rsid w:val="00FB7CB4"/>
    <w:rsid w:val="00FC1790"/>
    <w:rsid w:val="00FC181C"/>
    <w:rsid w:val="00FC2914"/>
    <w:rsid w:val="00FC4229"/>
    <w:rsid w:val="00FC4669"/>
    <w:rsid w:val="00FC4CDF"/>
    <w:rsid w:val="00FC5EE0"/>
    <w:rsid w:val="00FC6657"/>
    <w:rsid w:val="00FC759C"/>
    <w:rsid w:val="00FD4355"/>
    <w:rsid w:val="00FD6139"/>
    <w:rsid w:val="00FD6719"/>
    <w:rsid w:val="00FD6892"/>
    <w:rsid w:val="00FE0976"/>
    <w:rsid w:val="00FE14B7"/>
    <w:rsid w:val="00FE1DC3"/>
    <w:rsid w:val="00FE5041"/>
    <w:rsid w:val="00FE63EB"/>
    <w:rsid w:val="00FE70CE"/>
    <w:rsid w:val="00FE7885"/>
    <w:rsid w:val="00FF1F60"/>
    <w:rsid w:val="00FF43C4"/>
    <w:rsid w:val="00FF4553"/>
    <w:rsid w:val="00FF59C7"/>
    <w:rsid w:val="00FF670E"/>
    <w:rsid w:val="00FF7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56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rsid w:val="009021D8"/>
    <w:pPr>
      <w:keepNext/>
      <w:spacing w:before="240"/>
      <w:outlineLvl w:val="0"/>
    </w:pPr>
    <w:rPr>
      <w:b/>
      <w:smallCaps/>
    </w:rPr>
  </w:style>
  <w:style w:type="paragraph" w:styleId="Heading2">
    <w:name w:val="heading 2"/>
    <w:basedOn w:val="Normal"/>
    <w:next w:val="Text2"/>
    <w:qFormat/>
    <w:rsid w:val="009021D8"/>
    <w:pPr>
      <w:keepNext/>
      <w:ind w:left="480"/>
      <w:outlineLvl w:val="1"/>
    </w:pPr>
    <w:rPr>
      <w:b/>
    </w:rPr>
  </w:style>
  <w:style w:type="paragraph" w:styleId="Heading3">
    <w:name w:val="heading 3"/>
    <w:basedOn w:val="Normal"/>
    <w:next w:val="Text3"/>
    <w:qFormat/>
    <w:rsid w:val="009021D8"/>
    <w:pPr>
      <w:keepNext/>
      <w:ind w:left="1080"/>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lang w:val="x-none"/>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lang w:val="x-none"/>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38"/>
      </w:numPr>
    </w:pPr>
  </w:style>
  <w:style w:type="paragraph" w:customStyle="1" w:styleId="ListNumberLevel3">
    <w:name w:val="List Number (Level 3)"/>
    <w:basedOn w:val="Normal"/>
    <w:pPr>
      <w:numPr>
        <w:ilvl w:val="2"/>
        <w:numId w:val="38"/>
      </w:numPr>
    </w:pPr>
  </w:style>
  <w:style w:type="paragraph" w:customStyle="1" w:styleId="ListNumberLevel4">
    <w:name w:val="List Number (Level 4)"/>
    <w:basedOn w:val="Normal"/>
    <w:pPr>
      <w:numPr>
        <w:ilvl w:val="3"/>
        <w:numId w:val="38"/>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710222"/>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710222"/>
    <w:pPr>
      <w:widowControl w:val="0"/>
      <w:autoSpaceDE w:val="0"/>
      <w:autoSpaceDN w:val="0"/>
      <w:spacing w:after="0"/>
      <w:ind w:right="85"/>
      <w:jc w:val="left"/>
    </w:pPr>
    <w:rPr>
      <w:rFonts w:ascii="Arial" w:hAnsi="Arial" w:cs="Arial"/>
      <w:sz w:val="16"/>
      <w:szCs w:val="16"/>
      <w:lang w:eastAsia="en-GB"/>
    </w:rPr>
  </w:style>
  <w:style w:type="paragraph" w:customStyle="1" w:styleId="Par-bullet">
    <w:name w:val="Par-bullet"/>
    <w:basedOn w:val="Normal"/>
    <w:next w:val="Normal"/>
    <w:rsid w:val="00021AAC"/>
    <w:pPr>
      <w:numPr>
        <w:numId w:val="18"/>
      </w:numPr>
      <w:spacing w:after="0" w:line="360" w:lineRule="auto"/>
      <w:ind w:left="357" w:hanging="357"/>
      <w:jc w:val="left"/>
    </w:pPr>
    <w:rPr>
      <w:lang w:val="fr-FR" w:eastAsia="fr-BE"/>
    </w:rPr>
  </w:style>
  <w:style w:type="paragraph" w:customStyle="1" w:styleId="CharCharChar">
    <w:name w:val="Char Char Char"/>
    <w:basedOn w:val="Normal"/>
    <w:rsid w:val="00021AAC"/>
    <w:pPr>
      <w:spacing w:after="160" w:line="240" w:lineRule="exact"/>
      <w:jc w:val="left"/>
    </w:pPr>
    <w:rPr>
      <w:rFonts w:ascii="Tahoma" w:hAnsi="Tahoma"/>
      <w:sz w:val="20"/>
      <w:lang w:val="en-US"/>
    </w:rPr>
  </w:style>
  <w:style w:type="paragraph" w:customStyle="1" w:styleId="Titrearticle">
    <w:name w:val="Titre article"/>
    <w:basedOn w:val="Normal"/>
    <w:next w:val="Normal"/>
    <w:rsid w:val="00021AAC"/>
    <w:pPr>
      <w:keepNext/>
      <w:spacing w:before="360" w:after="120"/>
      <w:jc w:val="center"/>
    </w:pPr>
    <w:rPr>
      <w:i/>
      <w:szCs w:val="24"/>
    </w:rPr>
  </w:style>
  <w:style w:type="paragraph" w:customStyle="1" w:styleId="Point1">
    <w:name w:val="Point 1"/>
    <w:basedOn w:val="Normal"/>
    <w:rsid w:val="00021AAC"/>
    <w:pPr>
      <w:spacing w:before="120" w:after="120" w:line="360" w:lineRule="auto"/>
      <w:ind w:left="1417" w:hanging="567"/>
      <w:jc w:val="left"/>
    </w:pPr>
    <w:rPr>
      <w:snapToGrid w:val="0"/>
      <w:szCs w:val="24"/>
      <w:lang w:eastAsia="en-GB"/>
    </w:rPr>
  </w:style>
  <w:style w:type="paragraph" w:customStyle="1" w:styleId="Tiret1">
    <w:name w:val="Tiret 1"/>
    <w:basedOn w:val="Point1"/>
    <w:rsid w:val="00021AAC"/>
    <w:pPr>
      <w:tabs>
        <w:tab w:val="num" w:pos="765"/>
      </w:tabs>
      <w:ind w:left="765" w:hanging="283"/>
    </w:pPr>
  </w:style>
  <w:style w:type="paragraph" w:customStyle="1" w:styleId="ManualNumPar1">
    <w:name w:val="Manual NumPar 1"/>
    <w:basedOn w:val="Normal"/>
    <w:next w:val="Text1"/>
    <w:rsid w:val="00021AAC"/>
    <w:pPr>
      <w:spacing w:before="120" w:after="120"/>
      <w:ind w:left="851" w:hanging="851"/>
    </w:pPr>
    <w:rPr>
      <w:lang w:eastAsia="fr-BE"/>
    </w:rPr>
  </w:style>
  <w:style w:type="paragraph" w:styleId="BalloonText">
    <w:name w:val="Balloon Text"/>
    <w:basedOn w:val="Normal"/>
    <w:semiHidden/>
    <w:rsid w:val="00245AA3"/>
    <w:rPr>
      <w:rFonts w:ascii="Tahoma" w:hAnsi="Tahoma" w:cs="Tahoma"/>
      <w:sz w:val="16"/>
      <w:szCs w:val="16"/>
    </w:rPr>
  </w:style>
  <w:style w:type="character" w:styleId="CommentReference">
    <w:name w:val="annotation reference"/>
    <w:semiHidden/>
    <w:rsid w:val="00CB52EC"/>
    <w:rPr>
      <w:sz w:val="16"/>
      <w:szCs w:val="16"/>
    </w:rPr>
  </w:style>
  <w:style w:type="paragraph" w:styleId="CommentSubject">
    <w:name w:val="annotation subject"/>
    <w:basedOn w:val="CommentText"/>
    <w:next w:val="CommentText"/>
    <w:semiHidden/>
    <w:rsid w:val="00CB52EC"/>
    <w:rPr>
      <w:b/>
      <w:bCs/>
    </w:rPr>
  </w:style>
  <w:style w:type="character" w:styleId="FootnoteReference">
    <w:name w:val="footnote reference"/>
    <w:uiPriority w:val="99"/>
    <w:rsid w:val="00DE0E1E"/>
    <w:rPr>
      <w:vertAlign w:val="superscript"/>
    </w:rPr>
  </w:style>
  <w:style w:type="character" w:styleId="Hyperlink">
    <w:name w:val="Hyperlink"/>
    <w:rsid w:val="00E50255"/>
    <w:rPr>
      <w:color w:val="0000FF"/>
      <w:u w:val="single"/>
    </w:rPr>
  </w:style>
  <w:style w:type="paragraph" w:styleId="NormalWeb">
    <w:name w:val="Normal (Web)"/>
    <w:basedOn w:val="Normal"/>
    <w:uiPriority w:val="99"/>
    <w:rsid w:val="001B19DF"/>
    <w:pPr>
      <w:spacing w:before="100" w:beforeAutospacing="1" w:after="100" w:afterAutospacing="1"/>
      <w:jc w:val="left"/>
    </w:pPr>
    <w:rPr>
      <w:szCs w:val="24"/>
      <w:lang w:eastAsia="en-GB"/>
    </w:rPr>
  </w:style>
  <w:style w:type="character" w:styleId="PageNumber">
    <w:name w:val="page number"/>
    <w:basedOn w:val="DefaultParagraphFont"/>
    <w:rsid w:val="006133B8"/>
  </w:style>
  <w:style w:type="character" w:customStyle="1" w:styleId="CommentTextChar">
    <w:name w:val="Comment Text Char"/>
    <w:link w:val="CommentText"/>
    <w:semiHidden/>
    <w:rsid w:val="00031591"/>
    <w:rPr>
      <w:lang w:eastAsia="en-US"/>
    </w:rPr>
  </w:style>
  <w:style w:type="character" w:customStyle="1" w:styleId="FootnoteTextChar">
    <w:name w:val="Footnote Text Char"/>
    <w:link w:val="FootnoteText"/>
    <w:uiPriority w:val="99"/>
    <w:rsid w:val="00274D3C"/>
    <w:rPr>
      <w:lang w:eastAsia="en-US"/>
    </w:rPr>
  </w:style>
  <w:style w:type="character" w:styleId="EndnoteReference">
    <w:name w:val="endnote reference"/>
    <w:rsid w:val="00320019"/>
    <w:rPr>
      <w:vertAlign w:val="superscript"/>
    </w:rPr>
  </w:style>
  <w:style w:type="paragraph" w:customStyle="1" w:styleId="Default">
    <w:name w:val="Default"/>
    <w:rsid w:val="00C01D07"/>
    <w:pPr>
      <w:autoSpaceDE w:val="0"/>
      <w:autoSpaceDN w:val="0"/>
      <w:adjustRightInd w:val="0"/>
    </w:pPr>
    <w:rPr>
      <w:rFonts w:ascii="Verdana" w:hAnsi="Verdana" w:cs="Verdana"/>
      <w:color w:val="000000"/>
      <w:sz w:val="24"/>
      <w:szCs w:val="24"/>
      <w:lang w:val="es-ES" w:eastAsia="es-ES"/>
    </w:rPr>
  </w:style>
  <w:style w:type="paragraph" w:customStyle="1" w:styleId="No-TOCheadingAgency">
    <w:name w:val="No-TOC heading (Agency)"/>
    <w:basedOn w:val="Default"/>
    <w:next w:val="Default"/>
    <w:uiPriority w:val="99"/>
    <w:rsid w:val="00C01D07"/>
    <w:rPr>
      <w:rFonts w:cs="Times New Roman"/>
      <w:color w:val="auto"/>
    </w:rPr>
  </w:style>
  <w:style w:type="paragraph" w:customStyle="1" w:styleId="TOCI">
    <w:name w:val="TOCI"/>
    <w:basedOn w:val="Default"/>
    <w:next w:val="Default"/>
    <w:uiPriority w:val="99"/>
    <w:rsid w:val="00C01D07"/>
    <w:rPr>
      <w:rFonts w:cs="Times New Roman"/>
      <w:color w:val="auto"/>
    </w:rPr>
  </w:style>
  <w:style w:type="table" w:styleId="TableGrid">
    <w:name w:val="Table Grid"/>
    <w:basedOn w:val="TableNormal"/>
    <w:rsid w:val="00C95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al"/>
    <w:rsid w:val="004221BF"/>
    <w:pPr>
      <w:numPr>
        <w:numId w:val="24"/>
      </w:numPr>
      <w:spacing w:before="120" w:after="120" w:line="360" w:lineRule="auto"/>
      <w:jc w:val="left"/>
    </w:pPr>
    <w:rPr>
      <w:szCs w:val="24"/>
    </w:rPr>
  </w:style>
  <w:style w:type="paragraph" w:customStyle="1" w:styleId="Tiret4">
    <w:name w:val="Tiret 4"/>
    <w:basedOn w:val="Normal"/>
    <w:rsid w:val="004221BF"/>
    <w:pPr>
      <w:numPr>
        <w:numId w:val="25"/>
      </w:numPr>
      <w:spacing w:before="120" w:after="120" w:line="360" w:lineRule="auto"/>
      <w:jc w:val="left"/>
    </w:pPr>
    <w:rPr>
      <w:szCs w:val="24"/>
    </w:rPr>
  </w:style>
  <w:style w:type="paragraph" w:styleId="ListParagraph">
    <w:name w:val="List Paragraph"/>
    <w:basedOn w:val="Normal"/>
    <w:uiPriority w:val="34"/>
    <w:qFormat/>
    <w:rsid w:val="004F4B73"/>
    <w:pPr>
      <w:ind w:left="708"/>
    </w:pPr>
  </w:style>
  <w:style w:type="paragraph" w:customStyle="1" w:styleId="Designator">
    <w:name w:val="Designator"/>
    <w:basedOn w:val="Normal"/>
    <w:rsid w:val="005F6983"/>
    <w:pPr>
      <w:spacing w:after="0"/>
      <w:jc w:val="center"/>
    </w:pPr>
    <w:rPr>
      <w:b/>
      <w:caps/>
      <w:sz w:val="32"/>
      <w:szCs w:val="24"/>
      <w:lang w:eastAsia="en-GB"/>
    </w:rPr>
  </w:style>
  <w:style w:type="paragraph" w:styleId="Revision">
    <w:name w:val="Revision"/>
    <w:hidden/>
    <w:uiPriority w:val="99"/>
    <w:semiHidden/>
    <w:rsid w:val="00BE11C0"/>
    <w:rPr>
      <w:sz w:val="24"/>
      <w:lang w:eastAsia="en-US"/>
    </w:rPr>
  </w:style>
  <w:style w:type="paragraph" w:customStyle="1" w:styleId="EFSABODYCOPY">
    <w:name w:val="EFSA BODY COPY"/>
    <w:basedOn w:val="Normal"/>
    <w:link w:val="EFSABODYCOPYChar"/>
    <w:qFormat/>
    <w:rsid w:val="00ED1BB0"/>
    <w:pPr>
      <w:spacing w:after="120"/>
      <w:jc w:val="left"/>
    </w:pPr>
    <w:rPr>
      <w:rFonts w:ascii="Verdana" w:eastAsia="Calibri" w:hAnsi="Verdana"/>
      <w:sz w:val="22"/>
      <w:szCs w:val="22"/>
    </w:rPr>
  </w:style>
  <w:style w:type="character" w:customStyle="1" w:styleId="EFSABODYCOPYChar">
    <w:name w:val="EFSA BODY COPY Char"/>
    <w:link w:val="EFSABODYCOPY"/>
    <w:rsid w:val="00ED1BB0"/>
    <w:rPr>
      <w:rFonts w:ascii="Verdana" w:eastAsia="Calibri" w:hAnsi="Verdana"/>
      <w:sz w:val="22"/>
      <w:szCs w:val="22"/>
      <w:lang w:eastAsia="en-US"/>
    </w:rPr>
  </w:style>
  <w:style w:type="paragraph" w:customStyle="1" w:styleId="EFSAAGENDASUBTITLE1NUMBERED">
    <w:name w:val="EFSA AGENDA SUBTITLE 1 NUMBERED"/>
    <w:basedOn w:val="EFSABODYCOPY"/>
    <w:next w:val="EFSABODYCOPY"/>
    <w:qFormat/>
    <w:rsid w:val="00ED1BB0"/>
    <w:pPr>
      <w:numPr>
        <w:numId w:val="40"/>
      </w:numPr>
      <w:tabs>
        <w:tab w:val="num" w:pos="360"/>
      </w:tabs>
      <w:spacing w:before="120"/>
      <w:ind w:left="0" w:firstLine="0"/>
    </w:pPr>
    <w:rPr>
      <w:b/>
      <w:sz w:val="24"/>
      <w:szCs w:val="24"/>
    </w:rPr>
  </w:style>
  <w:style w:type="paragraph" w:customStyle="1" w:styleId="EFSAAGENDASUBTITLE11NUMBERED">
    <w:name w:val="EFSA AGENDA SUBTITLE 1.1 NUMBERED"/>
    <w:basedOn w:val="EFSABODYCOPY"/>
    <w:qFormat/>
    <w:rsid w:val="00ED1BB0"/>
    <w:pPr>
      <w:numPr>
        <w:ilvl w:val="1"/>
        <w:numId w:val="40"/>
      </w:numPr>
      <w:tabs>
        <w:tab w:val="num" w:pos="360"/>
      </w:tabs>
      <w:ind w:left="0" w:firstLine="0"/>
    </w:pPr>
    <w:rPr>
      <w:b/>
      <w:szCs w:val="24"/>
    </w:rPr>
  </w:style>
  <w:style w:type="paragraph" w:customStyle="1" w:styleId="Typedudocument">
    <w:name w:val="Type du document"/>
    <w:basedOn w:val="Normal"/>
    <w:next w:val="Normal"/>
    <w:rsid w:val="00E81327"/>
    <w:pPr>
      <w:spacing w:before="360" w:after="0"/>
      <w:jc w:val="center"/>
    </w:pPr>
    <w:rPr>
      <w:rFonts w:eastAsiaTheme="minorHAnsi"/>
      <w:b/>
      <w:szCs w:val="22"/>
    </w:rPr>
  </w:style>
  <w:style w:type="character" w:customStyle="1" w:styleId="HeaderChar">
    <w:name w:val="Header Char"/>
    <w:basedOn w:val="DefaultParagraphFont"/>
    <w:link w:val="Header"/>
    <w:uiPriority w:val="99"/>
    <w:rsid w:val="00DF0D20"/>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rsid w:val="009021D8"/>
    <w:pPr>
      <w:keepNext/>
      <w:spacing w:before="240"/>
      <w:outlineLvl w:val="0"/>
    </w:pPr>
    <w:rPr>
      <w:b/>
      <w:smallCaps/>
    </w:rPr>
  </w:style>
  <w:style w:type="paragraph" w:styleId="Heading2">
    <w:name w:val="heading 2"/>
    <w:basedOn w:val="Normal"/>
    <w:next w:val="Text2"/>
    <w:qFormat/>
    <w:rsid w:val="009021D8"/>
    <w:pPr>
      <w:keepNext/>
      <w:ind w:left="480"/>
      <w:outlineLvl w:val="1"/>
    </w:pPr>
    <w:rPr>
      <w:b/>
    </w:rPr>
  </w:style>
  <w:style w:type="paragraph" w:styleId="Heading3">
    <w:name w:val="heading 3"/>
    <w:basedOn w:val="Normal"/>
    <w:next w:val="Text3"/>
    <w:qFormat/>
    <w:rsid w:val="009021D8"/>
    <w:pPr>
      <w:keepNext/>
      <w:ind w:left="1080"/>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lang w:val="x-none"/>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lang w:val="x-none"/>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38"/>
      </w:numPr>
    </w:pPr>
  </w:style>
  <w:style w:type="paragraph" w:customStyle="1" w:styleId="ListNumberLevel3">
    <w:name w:val="List Number (Level 3)"/>
    <w:basedOn w:val="Normal"/>
    <w:pPr>
      <w:numPr>
        <w:ilvl w:val="2"/>
        <w:numId w:val="38"/>
      </w:numPr>
    </w:pPr>
  </w:style>
  <w:style w:type="paragraph" w:customStyle="1" w:styleId="ListNumberLevel4">
    <w:name w:val="List Number (Level 4)"/>
    <w:basedOn w:val="Normal"/>
    <w:pPr>
      <w:numPr>
        <w:ilvl w:val="3"/>
        <w:numId w:val="38"/>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710222"/>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710222"/>
    <w:pPr>
      <w:widowControl w:val="0"/>
      <w:autoSpaceDE w:val="0"/>
      <w:autoSpaceDN w:val="0"/>
      <w:spacing w:after="0"/>
      <w:ind w:right="85"/>
      <w:jc w:val="left"/>
    </w:pPr>
    <w:rPr>
      <w:rFonts w:ascii="Arial" w:hAnsi="Arial" w:cs="Arial"/>
      <w:sz w:val="16"/>
      <w:szCs w:val="16"/>
      <w:lang w:eastAsia="en-GB"/>
    </w:rPr>
  </w:style>
  <w:style w:type="paragraph" w:customStyle="1" w:styleId="Par-bullet">
    <w:name w:val="Par-bullet"/>
    <w:basedOn w:val="Normal"/>
    <w:next w:val="Normal"/>
    <w:rsid w:val="00021AAC"/>
    <w:pPr>
      <w:numPr>
        <w:numId w:val="18"/>
      </w:numPr>
      <w:spacing w:after="0" w:line="360" w:lineRule="auto"/>
      <w:ind w:left="357" w:hanging="357"/>
      <w:jc w:val="left"/>
    </w:pPr>
    <w:rPr>
      <w:lang w:val="fr-FR" w:eastAsia="fr-BE"/>
    </w:rPr>
  </w:style>
  <w:style w:type="paragraph" w:customStyle="1" w:styleId="CharCharChar">
    <w:name w:val="Char Char Char"/>
    <w:basedOn w:val="Normal"/>
    <w:rsid w:val="00021AAC"/>
    <w:pPr>
      <w:spacing w:after="160" w:line="240" w:lineRule="exact"/>
      <w:jc w:val="left"/>
    </w:pPr>
    <w:rPr>
      <w:rFonts w:ascii="Tahoma" w:hAnsi="Tahoma"/>
      <w:sz w:val="20"/>
      <w:lang w:val="en-US"/>
    </w:rPr>
  </w:style>
  <w:style w:type="paragraph" w:customStyle="1" w:styleId="Titrearticle">
    <w:name w:val="Titre article"/>
    <w:basedOn w:val="Normal"/>
    <w:next w:val="Normal"/>
    <w:rsid w:val="00021AAC"/>
    <w:pPr>
      <w:keepNext/>
      <w:spacing w:before="360" w:after="120"/>
      <w:jc w:val="center"/>
    </w:pPr>
    <w:rPr>
      <w:i/>
      <w:szCs w:val="24"/>
    </w:rPr>
  </w:style>
  <w:style w:type="paragraph" w:customStyle="1" w:styleId="Point1">
    <w:name w:val="Point 1"/>
    <w:basedOn w:val="Normal"/>
    <w:rsid w:val="00021AAC"/>
    <w:pPr>
      <w:spacing w:before="120" w:after="120" w:line="360" w:lineRule="auto"/>
      <w:ind w:left="1417" w:hanging="567"/>
      <w:jc w:val="left"/>
    </w:pPr>
    <w:rPr>
      <w:snapToGrid w:val="0"/>
      <w:szCs w:val="24"/>
      <w:lang w:eastAsia="en-GB"/>
    </w:rPr>
  </w:style>
  <w:style w:type="paragraph" w:customStyle="1" w:styleId="Tiret1">
    <w:name w:val="Tiret 1"/>
    <w:basedOn w:val="Point1"/>
    <w:rsid w:val="00021AAC"/>
    <w:pPr>
      <w:tabs>
        <w:tab w:val="num" w:pos="765"/>
      </w:tabs>
      <w:ind w:left="765" w:hanging="283"/>
    </w:pPr>
  </w:style>
  <w:style w:type="paragraph" w:customStyle="1" w:styleId="ManualNumPar1">
    <w:name w:val="Manual NumPar 1"/>
    <w:basedOn w:val="Normal"/>
    <w:next w:val="Text1"/>
    <w:rsid w:val="00021AAC"/>
    <w:pPr>
      <w:spacing w:before="120" w:after="120"/>
      <w:ind w:left="851" w:hanging="851"/>
    </w:pPr>
    <w:rPr>
      <w:lang w:eastAsia="fr-BE"/>
    </w:rPr>
  </w:style>
  <w:style w:type="paragraph" w:styleId="BalloonText">
    <w:name w:val="Balloon Text"/>
    <w:basedOn w:val="Normal"/>
    <w:semiHidden/>
    <w:rsid w:val="00245AA3"/>
    <w:rPr>
      <w:rFonts w:ascii="Tahoma" w:hAnsi="Tahoma" w:cs="Tahoma"/>
      <w:sz w:val="16"/>
      <w:szCs w:val="16"/>
    </w:rPr>
  </w:style>
  <w:style w:type="character" w:styleId="CommentReference">
    <w:name w:val="annotation reference"/>
    <w:semiHidden/>
    <w:rsid w:val="00CB52EC"/>
    <w:rPr>
      <w:sz w:val="16"/>
      <w:szCs w:val="16"/>
    </w:rPr>
  </w:style>
  <w:style w:type="paragraph" w:styleId="CommentSubject">
    <w:name w:val="annotation subject"/>
    <w:basedOn w:val="CommentText"/>
    <w:next w:val="CommentText"/>
    <w:semiHidden/>
    <w:rsid w:val="00CB52EC"/>
    <w:rPr>
      <w:b/>
      <w:bCs/>
    </w:rPr>
  </w:style>
  <w:style w:type="character" w:styleId="FootnoteReference">
    <w:name w:val="footnote reference"/>
    <w:uiPriority w:val="99"/>
    <w:rsid w:val="00DE0E1E"/>
    <w:rPr>
      <w:vertAlign w:val="superscript"/>
    </w:rPr>
  </w:style>
  <w:style w:type="character" w:styleId="Hyperlink">
    <w:name w:val="Hyperlink"/>
    <w:rsid w:val="00E50255"/>
    <w:rPr>
      <w:color w:val="0000FF"/>
      <w:u w:val="single"/>
    </w:rPr>
  </w:style>
  <w:style w:type="paragraph" w:styleId="NormalWeb">
    <w:name w:val="Normal (Web)"/>
    <w:basedOn w:val="Normal"/>
    <w:uiPriority w:val="99"/>
    <w:rsid w:val="001B19DF"/>
    <w:pPr>
      <w:spacing w:before="100" w:beforeAutospacing="1" w:after="100" w:afterAutospacing="1"/>
      <w:jc w:val="left"/>
    </w:pPr>
    <w:rPr>
      <w:szCs w:val="24"/>
      <w:lang w:eastAsia="en-GB"/>
    </w:rPr>
  </w:style>
  <w:style w:type="character" w:styleId="PageNumber">
    <w:name w:val="page number"/>
    <w:basedOn w:val="DefaultParagraphFont"/>
    <w:rsid w:val="006133B8"/>
  </w:style>
  <w:style w:type="character" w:customStyle="1" w:styleId="CommentTextChar">
    <w:name w:val="Comment Text Char"/>
    <w:link w:val="CommentText"/>
    <w:semiHidden/>
    <w:rsid w:val="00031591"/>
    <w:rPr>
      <w:lang w:eastAsia="en-US"/>
    </w:rPr>
  </w:style>
  <w:style w:type="character" w:customStyle="1" w:styleId="FootnoteTextChar">
    <w:name w:val="Footnote Text Char"/>
    <w:link w:val="FootnoteText"/>
    <w:uiPriority w:val="99"/>
    <w:rsid w:val="00274D3C"/>
    <w:rPr>
      <w:lang w:eastAsia="en-US"/>
    </w:rPr>
  </w:style>
  <w:style w:type="character" w:styleId="EndnoteReference">
    <w:name w:val="endnote reference"/>
    <w:rsid w:val="00320019"/>
    <w:rPr>
      <w:vertAlign w:val="superscript"/>
    </w:rPr>
  </w:style>
  <w:style w:type="paragraph" w:customStyle="1" w:styleId="Default">
    <w:name w:val="Default"/>
    <w:rsid w:val="00C01D07"/>
    <w:pPr>
      <w:autoSpaceDE w:val="0"/>
      <w:autoSpaceDN w:val="0"/>
      <w:adjustRightInd w:val="0"/>
    </w:pPr>
    <w:rPr>
      <w:rFonts w:ascii="Verdana" w:hAnsi="Verdana" w:cs="Verdana"/>
      <w:color w:val="000000"/>
      <w:sz w:val="24"/>
      <w:szCs w:val="24"/>
      <w:lang w:val="es-ES" w:eastAsia="es-ES"/>
    </w:rPr>
  </w:style>
  <w:style w:type="paragraph" w:customStyle="1" w:styleId="No-TOCheadingAgency">
    <w:name w:val="No-TOC heading (Agency)"/>
    <w:basedOn w:val="Default"/>
    <w:next w:val="Default"/>
    <w:uiPriority w:val="99"/>
    <w:rsid w:val="00C01D07"/>
    <w:rPr>
      <w:rFonts w:cs="Times New Roman"/>
      <w:color w:val="auto"/>
    </w:rPr>
  </w:style>
  <w:style w:type="paragraph" w:customStyle="1" w:styleId="TOCI">
    <w:name w:val="TOCI"/>
    <w:basedOn w:val="Default"/>
    <w:next w:val="Default"/>
    <w:uiPriority w:val="99"/>
    <w:rsid w:val="00C01D07"/>
    <w:rPr>
      <w:rFonts w:cs="Times New Roman"/>
      <w:color w:val="auto"/>
    </w:rPr>
  </w:style>
  <w:style w:type="table" w:styleId="TableGrid">
    <w:name w:val="Table Grid"/>
    <w:basedOn w:val="TableNormal"/>
    <w:rsid w:val="00C95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al"/>
    <w:rsid w:val="004221BF"/>
    <w:pPr>
      <w:numPr>
        <w:numId w:val="24"/>
      </w:numPr>
      <w:spacing w:before="120" w:after="120" w:line="360" w:lineRule="auto"/>
      <w:jc w:val="left"/>
    </w:pPr>
    <w:rPr>
      <w:szCs w:val="24"/>
    </w:rPr>
  </w:style>
  <w:style w:type="paragraph" w:customStyle="1" w:styleId="Tiret4">
    <w:name w:val="Tiret 4"/>
    <w:basedOn w:val="Normal"/>
    <w:rsid w:val="004221BF"/>
    <w:pPr>
      <w:numPr>
        <w:numId w:val="25"/>
      </w:numPr>
      <w:spacing w:before="120" w:after="120" w:line="360" w:lineRule="auto"/>
      <w:jc w:val="left"/>
    </w:pPr>
    <w:rPr>
      <w:szCs w:val="24"/>
    </w:rPr>
  </w:style>
  <w:style w:type="paragraph" w:styleId="ListParagraph">
    <w:name w:val="List Paragraph"/>
    <w:basedOn w:val="Normal"/>
    <w:uiPriority w:val="34"/>
    <w:qFormat/>
    <w:rsid w:val="004F4B73"/>
    <w:pPr>
      <w:ind w:left="708"/>
    </w:pPr>
  </w:style>
  <w:style w:type="paragraph" w:customStyle="1" w:styleId="Designator">
    <w:name w:val="Designator"/>
    <w:basedOn w:val="Normal"/>
    <w:rsid w:val="005F6983"/>
    <w:pPr>
      <w:spacing w:after="0"/>
      <w:jc w:val="center"/>
    </w:pPr>
    <w:rPr>
      <w:b/>
      <w:caps/>
      <w:sz w:val="32"/>
      <w:szCs w:val="24"/>
      <w:lang w:eastAsia="en-GB"/>
    </w:rPr>
  </w:style>
  <w:style w:type="paragraph" w:styleId="Revision">
    <w:name w:val="Revision"/>
    <w:hidden/>
    <w:uiPriority w:val="99"/>
    <w:semiHidden/>
    <w:rsid w:val="00BE11C0"/>
    <w:rPr>
      <w:sz w:val="24"/>
      <w:lang w:eastAsia="en-US"/>
    </w:rPr>
  </w:style>
  <w:style w:type="paragraph" w:customStyle="1" w:styleId="EFSABODYCOPY">
    <w:name w:val="EFSA BODY COPY"/>
    <w:basedOn w:val="Normal"/>
    <w:link w:val="EFSABODYCOPYChar"/>
    <w:qFormat/>
    <w:rsid w:val="00ED1BB0"/>
    <w:pPr>
      <w:spacing w:after="120"/>
      <w:jc w:val="left"/>
    </w:pPr>
    <w:rPr>
      <w:rFonts w:ascii="Verdana" w:eastAsia="Calibri" w:hAnsi="Verdana"/>
      <w:sz w:val="22"/>
      <w:szCs w:val="22"/>
    </w:rPr>
  </w:style>
  <w:style w:type="character" w:customStyle="1" w:styleId="EFSABODYCOPYChar">
    <w:name w:val="EFSA BODY COPY Char"/>
    <w:link w:val="EFSABODYCOPY"/>
    <w:rsid w:val="00ED1BB0"/>
    <w:rPr>
      <w:rFonts w:ascii="Verdana" w:eastAsia="Calibri" w:hAnsi="Verdana"/>
      <w:sz w:val="22"/>
      <w:szCs w:val="22"/>
      <w:lang w:eastAsia="en-US"/>
    </w:rPr>
  </w:style>
  <w:style w:type="paragraph" w:customStyle="1" w:styleId="EFSAAGENDASUBTITLE1NUMBERED">
    <w:name w:val="EFSA AGENDA SUBTITLE 1 NUMBERED"/>
    <w:basedOn w:val="EFSABODYCOPY"/>
    <w:next w:val="EFSABODYCOPY"/>
    <w:qFormat/>
    <w:rsid w:val="00ED1BB0"/>
    <w:pPr>
      <w:numPr>
        <w:numId w:val="40"/>
      </w:numPr>
      <w:tabs>
        <w:tab w:val="num" w:pos="360"/>
      </w:tabs>
      <w:spacing w:before="120"/>
      <w:ind w:left="0" w:firstLine="0"/>
    </w:pPr>
    <w:rPr>
      <w:b/>
      <w:sz w:val="24"/>
      <w:szCs w:val="24"/>
    </w:rPr>
  </w:style>
  <w:style w:type="paragraph" w:customStyle="1" w:styleId="EFSAAGENDASUBTITLE11NUMBERED">
    <w:name w:val="EFSA AGENDA SUBTITLE 1.1 NUMBERED"/>
    <w:basedOn w:val="EFSABODYCOPY"/>
    <w:qFormat/>
    <w:rsid w:val="00ED1BB0"/>
    <w:pPr>
      <w:numPr>
        <w:ilvl w:val="1"/>
        <w:numId w:val="40"/>
      </w:numPr>
      <w:tabs>
        <w:tab w:val="num" w:pos="360"/>
      </w:tabs>
      <w:ind w:left="0" w:firstLine="0"/>
    </w:pPr>
    <w:rPr>
      <w:b/>
      <w:szCs w:val="24"/>
    </w:rPr>
  </w:style>
  <w:style w:type="paragraph" w:customStyle="1" w:styleId="Typedudocument">
    <w:name w:val="Type du document"/>
    <w:basedOn w:val="Normal"/>
    <w:next w:val="Normal"/>
    <w:rsid w:val="00E81327"/>
    <w:pPr>
      <w:spacing w:before="360" w:after="0"/>
      <w:jc w:val="center"/>
    </w:pPr>
    <w:rPr>
      <w:rFonts w:eastAsiaTheme="minorHAnsi"/>
      <w:b/>
      <w:szCs w:val="22"/>
    </w:rPr>
  </w:style>
  <w:style w:type="character" w:customStyle="1" w:styleId="HeaderChar">
    <w:name w:val="Header Char"/>
    <w:basedOn w:val="DefaultParagraphFont"/>
    <w:link w:val="Header"/>
    <w:uiPriority w:val="99"/>
    <w:rsid w:val="00DF0D2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4973">
      <w:bodyDiv w:val="1"/>
      <w:marLeft w:val="0"/>
      <w:marRight w:val="0"/>
      <w:marTop w:val="0"/>
      <w:marBottom w:val="0"/>
      <w:divBdr>
        <w:top w:val="none" w:sz="0" w:space="0" w:color="auto"/>
        <w:left w:val="none" w:sz="0" w:space="0" w:color="auto"/>
        <w:bottom w:val="none" w:sz="0" w:space="0" w:color="auto"/>
        <w:right w:val="none" w:sz="0" w:space="0" w:color="auto"/>
      </w:divBdr>
    </w:div>
    <w:div w:id="878977970">
      <w:bodyDiv w:val="1"/>
      <w:marLeft w:val="0"/>
      <w:marRight w:val="0"/>
      <w:marTop w:val="0"/>
      <w:marBottom w:val="0"/>
      <w:divBdr>
        <w:top w:val="none" w:sz="0" w:space="0" w:color="auto"/>
        <w:left w:val="none" w:sz="0" w:space="0" w:color="auto"/>
        <w:bottom w:val="none" w:sz="0" w:space="0" w:color="auto"/>
        <w:right w:val="none" w:sz="0" w:space="0" w:color="auto"/>
      </w:divBdr>
    </w:div>
    <w:div w:id="1282609412">
      <w:bodyDiv w:val="1"/>
      <w:marLeft w:val="0"/>
      <w:marRight w:val="0"/>
      <w:marTop w:val="0"/>
      <w:marBottom w:val="0"/>
      <w:divBdr>
        <w:top w:val="none" w:sz="0" w:space="0" w:color="auto"/>
        <w:left w:val="none" w:sz="0" w:space="0" w:color="auto"/>
        <w:bottom w:val="none" w:sz="0" w:space="0" w:color="auto"/>
        <w:right w:val="none" w:sz="0" w:space="0" w:color="auto"/>
      </w:divBdr>
    </w:div>
    <w:div w:id="1373728941">
      <w:bodyDiv w:val="1"/>
      <w:marLeft w:val="0"/>
      <w:marRight w:val="0"/>
      <w:marTop w:val="0"/>
      <w:marBottom w:val="0"/>
      <w:divBdr>
        <w:top w:val="none" w:sz="0" w:space="0" w:color="auto"/>
        <w:left w:val="none" w:sz="0" w:space="0" w:color="auto"/>
        <w:bottom w:val="none" w:sz="0" w:space="0" w:color="auto"/>
        <w:right w:val="none" w:sz="0" w:space="0" w:color="auto"/>
      </w:divBdr>
    </w:div>
    <w:div w:id="1426464076">
      <w:bodyDiv w:val="1"/>
      <w:marLeft w:val="0"/>
      <w:marRight w:val="0"/>
      <w:marTop w:val="0"/>
      <w:marBottom w:val="0"/>
      <w:divBdr>
        <w:top w:val="none" w:sz="0" w:space="0" w:color="auto"/>
        <w:left w:val="none" w:sz="0" w:space="0" w:color="auto"/>
        <w:bottom w:val="none" w:sz="0" w:space="0" w:color="auto"/>
        <w:right w:val="none" w:sz="0" w:space="0" w:color="auto"/>
      </w:divBdr>
    </w:div>
    <w:div w:id="1676490673">
      <w:bodyDiv w:val="1"/>
      <w:marLeft w:val="0"/>
      <w:marRight w:val="0"/>
      <w:marTop w:val="0"/>
      <w:marBottom w:val="0"/>
      <w:divBdr>
        <w:top w:val="none" w:sz="0" w:space="0" w:color="auto"/>
        <w:left w:val="none" w:sz="0" w:space="0" w:color="auto"/>
        <w:bottom w:val="none" w:sz="0" w:space="0" w:color="auto"/>
        <w:right w:val="none" w:sz="0" w:space="0" w:color="auto"/>
      </w:divBdr>
    </w:div>
    <w:div w:id="1717656766">
      <w:bodyDiv w:val="1"/>
      <w:marLeft w:val="0"/>
      <w:marRight w:val="0"/>
      <w:marTop w:val="0"/>
      <w:marBottom w:val="0"/>
      <w:divBdr>
        <w:top w:val="none" w:sz="0" w:space="0" w:color="auto"/>
        <w:left w:val="none" w:sz="0" w:space="0" w:color="auto"/>
        <w:bottom w:val="none" w:sz="0" w:space="0" w:color="auto"/>
        <w:right w:val="none" w:sz="0" w:space="0" w:color="auto"/>
      </w:divBdr>
    </w:div>
    <w:div w:id="1730030143">
      <w:bodyDiv w:val="1"/>
      <w:marLeft w:val="0"/>
      <w:marRight w:val="0"/>
      <w:marTop w:val="0"/>
      <w:marBottom w:val="0"/>
      <w:divBdr>
        <w:top w:val="none" w:sz="0" w:space="0" w:color="auto"/>
        <w:left w:val="none" w:sz="0" w:space="0" w:color="auto"/>
        <w:bottom w:val="none" w:sz="0" w:space="0" w:color="auto"/>
        <w:right w:val="none" w:sz="0" w:space="0" w:color="auto"/>
      </w:divBdr>
    </w:div>
    <w:div w:id="1785032994">
      <w:bodyDiv w:val="1"/>
      <w:marLeft w:val="0"/>
      <w:marRight w:val="0"/>
      <w:marTop w:val="0"/>
      <w:marBottom w:val="0"/>
      <w:divBdr>
        <w:top w:val="none" w:sz="0" w:space="0" w:color="auto"/>
        <w:left w:val="none" w:sz="0" w:space="0" w:color="auto"/>
        <w:bottom w:val="none" w:sz="0" w:space="0" w:color="auto"/>
        <w:right w:val="none" w:sz="0" w:space="0" w:color="auto"/>
      </w:divBdr>
    </w:div>
    <w:div w:id="18617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eli/reg_del/2017/2100/o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AC42A-6635-4C88-BDF4-75ACD13E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TotalTime>
  <Pages>8</Pages>
  <Words>2668</Words>
  <Characters>13708</Characters>
  <Application>Microsoft Office Word</Application>
  <DocSecurity>0</DocSecurity>
  <Lines>114</Lines>
  <Paragraphs>32</Paragraphs>
  <ScaleCrop>false</ScaleCrop>
  <HeadingPairs>
    <vt:vector size="8" baseType="variant">
      <vt:variant>
        <vt:lpstr>Title</vt:lpstr>
      </vt:variant>
      <vt:variant>
        <vt:i4>1</vt:i4>
      </vt:variant>
      <vt:variant>
        <vt:lpstr>Názov</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lpstr>
    </vt:vector>
  </TitlesOfParts>
  <Company>European Commission</Company>
  <LinksUpToDate>false</LinksUpToDate>
  <CharactersWithSpaces>16344</CharactersWithSpaces>
  <SharedDoc>false</SharedDoc>
  <HLinks>
    <vt:vector size="6" baseType="variant">
      <vt:variant>
        <vt:i4>2097203</vt:i4>
      </vt:variant>
      <vt:variant>
        <vt:i4>0</vt:i4>
      </vt:variant>
      <vt:variant>
        <vt:i4>0</vt:i4>
      </vt:variant>
      <vt:variant>
        <vt:i4>5</vt:i4>
      </vt:variant>
      <vt:variant>
        <vt:lpwstr>http://ec.europa.eu/health/endocrine_disruptors/policy/index_en.htm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Commission</dc:creator>
  <cp:keywords>EL4</cp:keywords>
  <cp:lastModifiedBy>NAGTZAAM Martinus (SANCO)</cp:lastModifiedBy>
  <cp:revision>2</cp:revision>
  <cp:lastPrinted>2018-03-23T10:39:00Z</cp:lastPrinted>
  <dcterms:created xsi:type="dcterms:W3CDTF">2018-03-23T11:40:00Z</dcterms:created>
  <dcterms:modified xsi:type="dcterms:W3CDTF">2018-03-23T11:40:00Z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Johanna BERNSEL</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ies>
</file>